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A4" w:rsidRPr="00B65908" w:rsidRDefault="00875DA4" w:rsidP="00B65908">
      <w:pPr>
        <w:tabs>
          <w:tab w:val="left" w:pos="924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B65908">
        <w:rPr>
          <w:rFonts w:asciiTheme="majorHAnsi" w:hAnsiTheme="majorHAnsi" w:cstheme="majorHAnsi"/>
          <w:b/>
          <w:sz w:val="22"/>
          <w:szCs w:val="22"/>
        </w:rPr>
        <w:t xml:space="preserve">PLANIFICACIÓN DE UNIDAD POR DESTREZAS CON CRITERIOS DE DESEMPEÑO </w:t>
      </w:r>
    </w:p>
    <w:tbl>
      <w:tblPr>
        <w:tblW w:w="155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483"/>
        <w:gridCol w:w="147"/>
        <w:gridCol w:w="489"/>
        <w:gridCol w:w="16"/>
        <w:gridCol w:w="1685"/>
        <w:gridCol w:w="782"/>
        <w:gridCol w:w="6"/>
        <w:gridCol w:w="93"/>
        <w:gridCol w:w="253"/>
        <w:gridCol w:w="569"/>
        <w:gridCol w:w="918"/>
        <w:gridCol w:w="355"/>
        <w:gridCol w:w="1703"/>
        <w:gridCol w:w="564"/>
        <w:gridCol w:w="316"/>
        <w:gridCol w:w="319"/>
        <w:gridCol w:w="783"/>
        <w:gridCol w:w="553"/>
        <w:gridCol w:w="320"/>
        <w:gridCol w:w="3033"/>
        <w:gridCol w:w="11"/>
        <w:gridCol w:w="26"/>
      </w:tblGrid>
      <w:tr w:rsidR="00875DA4" w:rsidRPr="00B65908" w:rsidTr="002276D5">
        <w:trPr>
          <w:gridAfter w:val="2"/>
          <w:wAfter w:w="37" w:type="dxa"/>
          <w:trHeight w:val="725"/>
        </w:trPr>
        <w:tc>
          <w:tcPr>
            <w:tcW w:w="32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noProof/>
                <w:sz w:val="22"/>
                <w:szCs w:val="22"/>
                <w:lang w:eastAsia="es-EC"/>
              </w:rPr>
              <w:drawing>
                <wp:inline distT="0" distB="0" distL="0" distR="0" wp14:anchorId="0650165F" wp14:editId="4976FA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9" w:type="dxa"/>
            <w:gridSpan w:val="1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75DA4" w:rsidRPr="00B65908" w:rsidRDefault="00875DA4" w:rsidP="00B6590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/>
              </w:rPr>
            </w:pPr>
            <w:r w:rsidRPr="00B6590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/>
              </w:rPr>
              <w:t>“Una llamada, muchas voces”</w:t>
            </w:r>
          </w:p>
        </w:tc>
        <w:tc>
          <w:tcPr>
            <w:tcW w:w="3033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875DA4" w:rsidRPr="00B65908" w:rsidTr="002276D5">
        <w:trPr>
          <w:gridAfter w:val="1"/>
          <w:wAfter w:w="26" w:type="dxa"/>
          <w:trHeight w:val="408"/>
        </w:trPr>
        <w:tc>
          <w:tcPr>
            <w:tcW w:w="1552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875DA4" w:rsidRPr="00B65908" w:rsidTr="002276D5">
        <w:trPr>
          <w:gridAfter w:val="1"/>
          <w:wAfter w:w="26" w:type="dxa"/>
          <w:trHeight w:val="309"/>
        </w:trPr>
        <w:tc>
          <w:tcPr>
            <w:tcW w:w="15528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75DA4" w:rsidRPr="00B65908" w:rsidRDefault="00875DA4" w:rsidP="00B65908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875DA4" w:rsidRPr="00B65908" w:rsidTr="002276D5">
        <w:trPr>
          <w:gridAfter w:val="1"/>
          <w:wAfter w:w="26" w:type="dxa"/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Lic. Elizabeth Carrillo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Química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Primero de Bachillerato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875DA4" w:rsidRPr="00B65908" w:rsidTr="002276D5">
        <w:trPr>
          <w:gridAfter w:val="1"/>
          <w:wAfter w:w="26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75DA4" w:rsidRPr="00B65908" w:rsidRDefault="00B65908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A4" w:rsidRPr="00B65908" w:rsidRDefault="00875DA4" w:rsidP="00B6590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</w:rPr>
              <w:t xml:space="preserve">Título de unidad de planificación: </w:t>
            </w:r>
          </w:p>
        </w:tc>
        <w:tc>
          <w:tcPr>
            <w:tcW w:w="5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DA4" w:rsidRPr="00B65908" w:rsidRDefault="00875DA4" w:rsidP="00B6590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</w:rPr>
              <w:t>La tabla periódica de los elementos químicos y su rol en la deducción de las propiedades de los mismos.</w:t>
            </w:r>
          </w:p>
        </w:tc>
        <w:tc>
          <w:tcPr>
            <w:tcW w:w="5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75DA4" w:rsidRPr="00B65908" w:rsidRDefault="00875DA4" w:rsidP="00B6590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875DA4" w:rsidRPr="00B65908" w:rsidTr="002276D5">
        <w:trPr>
          <w:gridAfter w:val="1"/>
          <w:wAfter w:w="26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A4" w:rsidRPr="00B65908" w:rsidRDefault="00875DA4" w:rsidP="00B65908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5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DA4" w:rsidRPr="00B65908" w:rsidRDefault="00B65908" w:rsidP="00B65908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</w:rPr>
              <w:t>Identificar a los compuestos químicos binarios mediante la combinación de átomos, de acuerdo con la ubicación en la tabla periódica.</w:t>
            </w:r>
          </w:p>
        </w:tc>
        <w:tc>
          <w:tcPr>
            <w:tcW w:w="5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75DA4" w:rsidRPr="00B65908" w:rsidRDefault="00875DA4" w:rsidP="00B6590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Investiga la unión de átomos, tipos de enlaces químicos con la comparación de sus propiedades</w:t>
            </w:r>
            <w:r w:rsidRPr="00B65908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B65908">
              <w:t xml:space="preserve"> </w:t>
            </w:r>
            <w:r w:rsidR="00B65908" w:rsidRPr="00B65908">
              <w:rPr>
                <w:rFonts w:asciiTheme="majorHAnsi" w:hAnsiTheme="majorHAnsi" w:cstheme="majorHAnsi"/>
                <w:sz w:val="22"/>
                <w:szCs w:val="22"/>
              </w:rPr>
              <w:t>Identificar a los compuestos químicos binarios mediante la combinación de átomos, de acuerdo con la ubicación en la tabla periódica.</w:t>
            </w:r>
          </w:p>
        </w:tc>
      </w:tr>
      <w:tr w:rsidR="00875DA4" w:rsidRPr="00B65908" w:rsidTr="002276D5">
        <w:trPr>
          <w:gridAfter w:val="1"/>
          <w:wAfter w:w="26" w:type="dxa"/>
          <w:trHeight w:val="287"/>
        </w:trPr>
        <w:tc>
          <w:tcPr>
            <w:tcW w:w="15528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75DA4" w:rsidRPr="00B65908" w:rsidRDefault="00875DA4" w:rsidP="00B65908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PLANIFICACIÓN:</w:t>
            </w:r>
          </w:p>
        </w:tc>
      </w:tr>
      <w:tr w:rsidR="00875DA4" w:rsidRPr="00B65908" w:rsidTr="002276D5">
        <w:trPr>
          <w:gridAfter w:val="1"/>
          <w:wAfter w:w="26" w:type="dxa"/>
          <w:trHeight w:val="287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7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CE.CN.Q.5.3. Analiza la estructura electrónica de los átomos a partir de la posición en la tabla periódica, la variación periódica y sus propiedades físicas y químicas, por medio de experimentos sencillos.</w:t>
            </w: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CE.CN.Q.5.4. Argumenta con fundamento científico que los átomos se unen debido a diferentes tipos de enlaces y fuerzas intermoleculares y que tienen la capacidad de relacionarse de acuerdo a sus propiedades al ceder o ganar electrones.</w:t>
            </w:r>
          </w:p>
        </w:tc>
      </w:tr>
      <w:tr w:rsidR="00875DA4" w:rsidRPr="00B65908" w:rsidTr="002276D5">
        <w:trPr>
          <w:gridAfter w:val="2"/>
          <w:wAfter w:w="37" w:type="dxa"/>
          <w:trHeight w:val="382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389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5DA4" w:rsidRPr="00B65908" w:rsidRDefault="00875DA4" w:rsidP="00B65908">
            <w:pPr>
              <w:shd w:val="clear" w:color="auto" w:fill="FFFFFF"/>
              <w:tabs>
                <w:tab w:val="clear" w:pos="708"/>
              </w:tabs>
              <w:suppressAutoHyphens w:val="0"/>
              <w:spacing w:line="300" w:lineRule="atLeast"/>
              <w:outlineLvl w:val="3"/>
              <w:rPr>
                <w:rFonts w:asciiTheme="majorHAnsi" w:hAnsiTheme="majorHAnsi" w:cstheme="majorHAnsi"/>
                <w:b/>
                <w:bCs/>
                <w:color w:val="30303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303030"/>
                <w:kern w:val="0"/>
                <w:sz w:val="22"/>
                <w:szCs w:val="22"/>
                <w:lang w:eastAsia="es-EC"/>
              </w:rPr>
              <w:t>Compromiso</w:t>
            </w:r>
          </w:p>
          <w:p w:rsidR="00875DA4" w:rsidRPr="00B65908" w:rsidRDefault="00875DA4" w:rsidP="00B65908">
            <w:pPr>
              <w:shd w:val="clear" w:color="auto" w:fill="FFFFFF"/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6E6E6E"/>
                <w:kern w:val="0"/>
                <w:sz w:val="22"/>
                <w:szCs w:val="22"/>
                <w:lang w:eastAsia="es-EC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PERIODOS: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8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SEMANAS: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75DA4" w:rsidRPr="00B65908" w:rsidRDefault="000048A1" w:rsidP="00B6590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FECHA DE INICIO: 12</w:t>
            </w:r>
            <w:r w:rsidR="00875DA4"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/12/2016</w:t>
            </w:r>
          </w:p>
        </w:tc>
      </w:tr>
      <w:tr w:rsidR="00875DA4" w:rsidRPr="00B65908" w:rsidTr="002276D5">
        <w:trPr>
          <w:trHeight w:val="423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INDICADORES DE EVALUACIÓN E</w:t>
            </w:r>
          </w:p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875DA4" w:rsidRPr="00B65908" w:rsidTr="002276D5">
        <w:trPr>
          <w:trHeight w:val="375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875DA4" w:rsidRPr="00B65908" w:rsidTr="002276D5">
        <w:trPr>
          <w:trHeight w:val="281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CN.Q.5.1.8. Deducir y explicar la unión de átomos por su tendencia a donar, recibir o compartir </w:t>
            </w: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 xml:space="preserve">electrones para alcanzar la estabilidad del gas noble más cercano, según la teoría de </w:t>
            </w:r>
            <w:proofErr w:type="spellStart"/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Kössel</w:t>
            </w:r>
            <w:proofErr w:type="spellEnd"/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y Lewis. </w:t>
            </w: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CN.Q.5.1.9. Observar y clasificar el tipo de enlaces químicos y su fuerza partiendo del análisis de la relación existente entre la capacidad de transferir y compartir electrones y la configuración electrónica, con base en los valores de la electronegatividad. </w:t>
            </w: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CN.Q.5.1.10. Deducir y explicar las propiedades físicas de compuestos iónicos y covalentes desde el análisis de su estructura y el tipo de enlace que une a los átomos, así como de la comparación de las propiedades de sustancias comúnmente conocidas.</w:t>
            </w: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CN.Q.5.1.11. Establecer y diferenciar las fuerzas intermoleculares partiendo de la descripción del puente de hidrógeno, fuerzas de London y de Van der </w:t>
            </w:r>
            <w:proofErr w:type="spellStart"/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Walls</w:t>
            </w:r>
            <w:proofErr w:type="spellEnd"/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, y dipolo-dipolo.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lastRenderedPageBreak/>
              <w:t>Anticipación</w:t>
            </w:r>
          </w:p>
          <w:p w:rsidR="00875DA4" w:rsidRPr="00B65908" w:rsidRDefault="00875DA4" w:rsidP="00B6590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Aplicar la técnica organizacional para enumerar los conceptos </w:t>
            </w: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lastRenderedPageBreak/>
              <w:t xml:space="preserve">previos sobre las sustancias iónicas y moleculares. 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</w:t>
            </w: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 xml:space="preserve">Anticipación 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Proponer esta guía de preguntas: ¿Cuáles son las diferencias entre el agua y la sal de mesa? ¿Qué significa tener un punto de fusión bajo? 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 xml:space="preserve">Construcción 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Observar y analizar las los resultados de los siguientes experimentos.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Observar las propiedades físicas del </w:t>
            </w:r>
            <w:proofErr w:type="spellStart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NaCl</w:t>
            </w:r>
            <w:proofErr w:type="spellEnd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. Poner atención a su dureza y fragilidad (desmoronar).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Disolver aproximadamente10 g de </w:t>
            </w:r>
            <w:proofErr w:type="spellStart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NaCl</w:t>
            </w:r>
            <w:proofErr w:type="spellEnd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en agua.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Sobre una hornilla eléctrica y un vidrio reloj, intentar disolver 10 g de </w:t>
            </w:r>
            <w:proofErr w:type="spellStart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NaCl</w:t>
            </w:r>
            <w:proofErr w:type="spellEnd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.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Repetir los puntos anteriores utilizando parafina.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Construir una tabla comparativa entre ambos compuestos estudiados. 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Leer las páginas 79 y 82 del texto. Relacionar el contenido con los resultados anotados en la tabla. 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Concluir qué tipo de sustancia son las estudiadas, molecular o iónica. </w:t>
            </w:r>
          </w:p>
          <w:p w:rsidR="00875DA4" w:rsidRPr="00B65908" w:rsidRDefault="00875DA4" w:rsidP="00B65908">
            <w:pPr>
              <w:pStyle w:val="Prrafodelista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>Consolidación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lastRenderedPageBreak/>
              <w:t xml:space="preserve">Representar gráficamente, mediante un diagrama de </w:t>
            </w:r>
            <w:proofErr w:type="spellStart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Venn</w:t>
            </w:r>
            <w:proofErr w:type="spellEnd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, las características principales de las sustancias iónicas y moleculares. Recalcar, en el área de intersección de los círculos, por lo menos dos características compartidas.</w:t>
            </w: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>Anticipación:</w:t>
            </w:r>
          </w:p>
          <w:p w:rsidR="00B65908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Presentar a los estudiantes una muestra de cloruro de sodio o sal de mesa y preguntarles: ¿Por qué razón podemos consumir la sal como condimento sin ningún problema mientras que los elementos que la forman como el cloro y el sodio son tóxicos si los ingerimos? • </w:t>
            </w: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>Construcción:</w:t>
            </w: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Realizar una lluvia de ideas con las respuestas obtenidas y enlazarlas con el tema de enlace químico. • Elaborar un mapa conceptual sobre el enlace químico a partir de l</w:t>
            </w:r>
            <w:r w:rsidR="00B65908"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a información de las páginas 76-83</w:t>
            </w: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. • Pedir a los estudiantes que representen gráficamente, mediante ejemplos, cómo se cumple la regla del octeto y las propiedades de </w:t>
            </w: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lastRenderedPageBreak/>
              <w:t xml:space="preserve">electronegatividad, energía de ionización y afinidad electrónica. </w:t>
            </w: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 xml:space="preserve">Consolidación </w:t>
            </w: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• Formar grupos de trabajo y pedir que, luego de una lectura compartida sobre el enlace iónico, definan este enlace, como también los términos catión y anión.  • Representar varios ejemplos de enlaces iónicos utilizando la estructura de Lewis. • Elaborar un mapa mental sobre las propiedades de los enlaces iónicos.</w:t>
            </w: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 xml:space="preserve">Anticipación </w:t>
            </w:r>
          </w:p>
          <w:p w:rsid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Formular a los estudiantes la siguiente pregunta: ¿Es lo mismo enlaces químicos que fuerzas de atracción intermolecular? Realizar una lluvia de ideas con los criterios aportados. </w:t>
            </w:r>
          </w:p>
          <w:p w:rsid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 xml:space="preserve">Construcción </w:t>
            </w:r>
          </w:p>
          <w:p w:rsid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Definir con los estudiantes los siguientes términos: átomos, moléculas, fuerzas </w:t>
            </w:r>
            <w:proofErr w:type="spellStart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intramoleculares</w:t>
            </w:r>
            <w:proofErr w:type="spellEnd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y fuerzas intermoleculares </w:t>
            </w:r>
            <w:r w:rsid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utilizando gráficos y láminas. </w:t>
            </w:r>
          </w:p>
          <w:p w:rsid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Explicar las fuerzas intermoleculares con ayuda de una presentación de PowerPoint o con la siguiente página Web: http://iesdolmendesoto.org/zonatic/el_enlace_quimico/enlace/fuerzas_intermoleculares.html#puente_H •</w:t>
            </w:r>
          </w:p>
          <w:p w:rsid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 xml:space="preserve">Consolidación </w:t>
            </w:r>
          </w:p>
          <w:p w:rsid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Organizar grupos de trabajo y pedir a los estudiantes que elaboren un cuadro comparativo entre las diversas clase</w:t>
            </w:r>
            <w:r w:rsid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s de fuerzas intermoleculares. </w:t>
            </w:r>
          </w:p>
          <w:p w:rsid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Establecer las diferencias entre enlace y fuerzas intermol</w:t>
            </w:r>
            <w:r w:rsid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eculares a través de ejemplos. </w:t>
            </w: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Resolver un taller de aplicación para reconocer el tipo de fuerza intermolecular.</w:t>
            </w: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Libro </w:t>
            </w: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proofErr w:type="spellStart"/>
            <w:r w:rsidRPr="00B65908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>Prezzi</w:t>
            </w:r>
            <w:proofErr w:type="spellEnd"/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 xml:space="preserve">Laboratorio virtual Informática 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I.CN.Q.5.4.1. Argumenta con fundamento científico que los átomos se unen debido a diferentes tipos de enlaces y </w:t>
            </w: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lastRenderedPageBreak/>
              <w:t>fuerzas intermoleculares, y que tienen la capacidad de relacionarse de acuerdo a sus propiedades al ceder o ganar electrones. (I.2.)</w:t>
            </w: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Deduce y explica la unión de átomos por su tendencia a donar, recibir o compartir electrones para alcanzar la estabilidad del gas noble más cercano, según la teoría de </w:t>
            </w:r>
            <w:proofErr w:type="spellStart"/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Kössel</w:t>
            </w:r>
            <w:proofErr w:type="spellEnd"/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y Lewis. </w:t>
            </w: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Observa y clasifica el tipo de enlaces químicos y su fuerza partiendo del análisis de la relación existente entre la capacidad de transferir y compartir electrones y la configuración electrónica, con base en los valores de la electronegatividad. </w:t>
            </w: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Deduce y explica las propiedades físicas de compuestos iónicos y covalentes desde el análisis de su estructura y el tipo de enlace que une a los átomos, así como de la comparación de las propiedades de sustancias comúnmente conocidas.</w:t>
            </w: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Deduce y explica las propiedades </w:t>
            </w: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físicas de compuestos iónicos y covalentes desde el análisis de su estructura y el tipo de enlace que une a los átomos, así como de la comparación de las propiedades de sustancias comúnmente conocidas.</w:t>
            </w: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lastRenderedPageBreak/>
              <w:t>Trabajo grupal:</w:t>
            </w:r>
            <w:r w:rsidRPr="00B6590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Practica del Laboratorio virtual para el procesamiento de datos.  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875DA4" w:rsidRPr="00B65908" w:rsidRDefault="00793F87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hyperlink r:id="rId7" w:history="1">
              <w:r w:rsidR="005A0427" w:rsidRPr="00B65908">
                <w:rPr>
                  <w:rStyle w:val="Hipervnculo"/>
                  <w:rFonts w:asciiTheme="majorHAnsi" w:hAnsiTheme="majorHAnsi" w:cstheme="majorHAnsi"/>
                  <w:kern w:val="0"/>
                  <w:sz w:val="22"/>
                  <w:szCs w:val="22"/>
                  <w:lang w:eastAsia="es-EC"/>
                </w:rPr>
                <w:t>https://www.youtube.com/watch?v=BOSzL57jh3w</w:t>
              </w:r>
            </w:hyperlink>
          </w:p>
          <w:p w:rsidR="005A0427" w:rsidRPr="00B65908" w:rsidRDefault="005A0427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Tema:   Enlaces iónicos y covalentes 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Técnica: Observación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Instrumento: Informe de Laboratorio, según la lista de cotejo.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Presentación:1p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Datos informativos:1p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Tema: 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Objetivos: 1p.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Materiales:1p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Gráficos:1p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Procedimiento:1p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Observaciones o Resultados: 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Conclusiones:1p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Barreras de Protección: 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(10 pts.)</w:t>
            </w: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Trabajo grupal:</w:t>
            </w: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Representar varios ejemplos de enlaces iónicos utilizando la estructura de Lewis. 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Técnica : Observación</w:t>
            </w: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Creación del Tema</w:t>
            </w:r>
            <w:proofErr w:type="gramStart"/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:1p</w:t>
            </w:r>
            <w:proofErr w:type="gramEnd"/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Creatividad 3p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Estructura: 5p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Presentación:1 p Total:(10 pts.)</w:t>
            </w:r>
          </w:p>
          <w:p w:rsidR="00B65908" w:rsidRPr="00B65908" w:rsidRDefault="00B65908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Lección</w:t>
            </w:r>
            <w:proofErr w:type="gramStart"/>
            <w:r w:rsidRPr="00B65908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 xml:space="preserve">:  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Oral</w:t>
            </w:r>
            <w:proofErr w:type="gramEnd"/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/Escrita permanente antes, durante y después de la clase.</w:t>
            </w: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>Técnica: Observación</w:t>
            </w: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Trabajo individual: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 Resolución de ejercicios en clase</w:t>
            </w: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lastRenderedPageBreak/>
              <w:t>Técnica: Cuaderno del estudiante Apuntes, según la nómina y lista de cotejo: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Presentación 1p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Tema:0.5p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Objetivo:1p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Desarrollo:3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Dibujo:3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Vocabulario:2p</w:t>
            </w: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s-ES_tradnl"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(10 </w:t>
            </w:r>
            <w:proofErr w:type="spellStart"/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ptos</w:t>
            </w:r>
            <w:proofErr w:type="spellEnd"/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)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</w: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7F6ED2" w:rsidRPr="00B65908" w:rsidTr="002276D5">
        <w:trPr>
          <w:trHeight w:val="653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7F6ED2" w:rsidRPr="00B65908" w:rsidTr="002276D5">
        <w:trPr>
          <w:trHeight w:val="550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  <w:tc>
          <w:tcPr>
            <w:tcW w:w="2978" w:type="dxa"/>
            <w:gridSpan w:val="5"/>
            <w:tcBorders>
              <w:right w:val="single" w:sz="4" w:space="0" w:color="auto"/>
            </w:tcBorders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2276D5" w:rsidRPr="00B65908" w:rsidTr="002276D5">
        <w:trPr>
          <w:trHeight w:val="312"/>
        </w:trPr>
        <w:tc>
          <w:tcPr>
            <w:tcW w:w="5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D5" w:rsidRPr="00B65908" w:rsidRDefault="002276D5" w:rsidP="00B6590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8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276D5" w:rsidRPr="00B65908" w:rsidRDefault="002276D5" w:rsidP="002276D5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2276D5" w:rsidRPr="00B65908" w:rsidTr="002276D5">
        <w:trPr>
          <w:trHeight w:val="431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D5" w:rsidRPr="00B65908" w:rsidRDefault="002276D5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  <w:t>Trastorno de atención con hiperactividad tipo combinado o con comportamiento perturbador. Trastorno del comportamiento por negativismo desafiante. M</w:t>
            </w:r>
          </w:p>
          <w:p w:rsidR="002276D5" w:rsidRPr="00B65908" w:rsidRDefault="002276D5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B65908">
              <w:rPr>
                <w:rFonts w:asciiTheme="majorHAnsi" w:hAnsiTheme="majorHAnsi" w:cstheme="majorHAnsi"/>
              </w:rPr>
              <w:t xml:space="preserve">Animar a los estudiantes a visualizar problemas de matemáticas. Química </w:t>
            </w:r>
          </w:p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B65908">
              <w:rPr>
                <w:rFonts w:asciiTheme="majorHAnsi" w:hAnsiTheme="majorHAnsi" w:cstheme="majorHAnsi"/>
              </w:rPr>
              <w:t>Proporcionar estrategias cognitivas que faciliten el cálculo mental y el razonamiento visual.</w:t>
            </w:r>
          </w:p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B65908">
              <w:rPr>
                <w:rFonts w:asciiTheme="majorHAnsi" w:hAnsiTheme="majorHAnsi" w:cstheme="majorHAnsi"/>
              </w:rPr>
              <w:t>Adaptar los aprendizajes a las capacidades del estudiante.</w:t>
            </w:r>
          </w:p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B65908">
              <w:rPr>
                <w:rFonts w:asciiTheme="majorHAnsi" w:hAnsiTheme="majorHAnsi" w:cstheme="majorHAnsi"/>
              </w:rPr>
              <w:t>Hacer que el estudiante lea los problemas en voz alta y escuche con atención.</w:t>
            </w:r>
          </w:p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B65908">
              <w:rPr>
                <w:rFonts w:asciiTheme="majorHAnsi" w:hAnsiTheme="majorHAnsi" w:cstheme="majorHAnsi"/>
              </w:rPr>
              <w:t>Relacionar problemas a situaciones de la vida real.</w:t>
            </w:r>
          </w:p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B65908">
              <w:rPr>
                <w:rFonts w:asciiTheme="majorHAnsi" w:hAnsiTheme="majorHAnsi" w:cstheme="majorHAnsi"/>
              </w:rPr>
              <w:t>Proporcionar hojas de trabajo que no tengan amontonamiento visual.</w:t>
            </w:r>
          </w:p>
          <w:p w:rsidR="002276D5" w:rsidRPr="00B65908" w:rsidRDefault="002276D5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</w:rPr>
              <w:t>Comenzar con problemas de menor complejidad.</w:t>
            </w:r>
          </w:p>
        </w:tc>
      </w:tr>
      <w:tr w:rsidR="002276D5" w:rsidRPr="00B65908" w:rsidTr="002276D5">
        <w:trPr>
          <w:trHeight w:val="444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D5" w:rsidRPr="00B65908" w:rsidRDefault="002276D5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  <w:t>Trastorno de atención con hiperactividad tipo combinado o con comportamiento perturbador. Trastorno del comportamiento por negativismo desafiante. V</w:t>
            </w:r>
          </w:p>
          <w:p w:rsidR="002276D5" w:rsidRPr="00B65908" w:rsidRDefault="002276D5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D5" w:rsidRPr="00B65908" w:rsidRDefault="002276D5" w:rsidP="00B65908">
            <w:pPr>
              <w:pStyle w:val="Sinespaciado"/>
              <w:rPr>
                <w:rFonts w:asciiTheme="majorHAnsi" w:hAnsiTheme="majorHAnsi" w:cstheme="majorHAnsi"/>
                <w:lang w:eastAsia="es-EC"/>
              </w:rPr>
            </w:pPr>
            <w:r w:rsidRPr="00B65908">
              <w:rPr>
                <w:rFonts w:asciiTheme="majorHAnsi" w:hAnsiTheme="majorHAnsi" w:cstheme="majorHAnsi"/>
                <w:lang w:eastAsia="es-EC"/>
              </w:rPr>
              <w:t>Evitar los estímulos distractores que pueden dispersar al estudiante durante la ejecución de una tarea. Esto se aplica:</w:t>
            </w:r>
          </w:p>
          <w:p w:rsidR="002276D5" w:rsidRPr="00B65908" w:rsidRDefault="002276D5" w:rsidP="00B65908">
            <w:pPr>
              <w:pStyle w:val="Sinespaciado"/>
              <w:rPr>
                <w:rFonts w:asciiTheme="majorHAnsi" w:hAnsiTheme="majorHAnsi" w:cstheme="majorHAnsi"/>
                <w:lang w:eastAsia="es-EC"/>
              </w:rPr>
            </w:pPr>
          </w:p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  <w:lang w:eastAsia="es-EC"/>
              </w:rPr>
            </w:pPr>
            <w:r w:rsidRPr="00B65908">
              <w:rPr>
                <w:rFonts w:asciiTheme="majorHAnsi" w:hAnsiTheme="majorHAnsi" w:cstheme="majorHAnsi"/>
                <w:lang w:eastAsia="es-EC"/>
              </w:rPr>
              <w:t>Al ambiente de aprendizaje. Entre menos estímulos distractores tenga el estudiante, que rivalicen con la tarea que debe realizar, mejor será su concentración en ella.</w:t>
            </w:r>
          </w:p>
          <w:p w:rsidR="002276D5" w:rsidRPr="00B65908" w:rsidRDefault="002276D5" w:rsidP="00B6590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eastAsia="es-EC"/>
              </w:rPr>
              <w:t>A la orden o la instrucción. Llamar la atención del estudiante y establecer contacto visual con él. Explicar la tarea en forma clara y escueta, preferiblemente con conductas observables y precisas. Evitar dar más de dos instrucciones.</w:t>
            </w:r>
            <w:r w:rsidRPr="00B6590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B65908">
              <w:rPr>
                <w:rFonts w:asciiTheme="majorHAnsi" w:hAnsiTheme="majorHAnsi" w:cstheme="majorHAnsi"/>
                <w:sz w:val="22"/>
                <w:szCs w:val="22"/>
                <w:lang w:eastAsia="es-EC"/>
              </w:rPr>
              <w:t>simultáneamente</w:t>
            </w:r>
            <w:proofErr w:type="gramEnd"/>
            <w:r w:rsidRPr="00B65908">
              <w:rPr>
                <w:rFonts w:asciiTheme="majorHAnsi" w:hAnsiTheme="majorHAnsi" w:cstheme="majorHAnsi"/>
                <w:sz w:val="22"/>
                <w:szCs w:val="22"/>
                <w:lang w:eastAsia="es-EC"/>
              </w:rPr>
              <w:t>; a medida que el estudiante vaya mejorando, aumentarlas y jerarquizarlas.</w:t>
            </w:r>
          </w:p>
        </w:tc>
      </w:tr>
      <w:tr w:rsidR="002276D5" w:rsidRPr="00B65908" w:rsidTr="002276D5">
        <w:trPr>
          <w:trHeight w:val="444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D5" w:rsidRPr="00B65908" w:rsidRDefault="002276D5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  <w:t>Aprendizaje lento. Trastorno de déficit de atención con hiperactividad tipo moderado  L</w:t>
            </w:r>
          </w:p>
        </w:tc>
        <w:tc>
          <w:tcPr>
            <w:tcW w:w="9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D5" w:rsidRPr="00B65908" w:rsidRDefault="002276D5" w:rsidP="00B65908">
            <w:pPr>
              <w:pStyle w:val="Defaul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Cs/>
                <w:sz w:val="22"/>
                <w:szCs w:val="22"/>
                <w:lang w:val="es-ES_tradnl" w:eastAsia="es-EC"/>
              </w:rPr>
              <w:t>•</w:t>
            </w:r>
            <w:r w:rsidRPr="00B65908">
              <w:rPr>
                <w:rFonts w:asciiTheme="majorHAnsi" w:hAnsiTheme="majorHAnsi" w:cstheme="majorHAnsi"/>
                <w:bCs/>
                <w:sz w:val="22"/>
                <w:szCs w:val="22"/>
                <w:lang w:val="es-ES_tradnl"/>
              </w:rPr>
              <w:t xml:space="preserve"> </w:t>
            </w: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El acceso a materiales concretos fácilmente manipulables, así como la experiencia directa que el estudiante tenga del concepto que se pretende enseñar, facilita enormemente su comprensión.</w:t>
            </w:r>
          </w:p>
          <w:p w:rsidR="002276D5" w:rsidRPr="00B65908" w:rsidRDefault="002276D5" w:rsidP="00B65908">
            <w:pPr>
              <w:pStyle w:val="Sinespaciado"/>
              <w:rPr>
                <w:rFonts w:asciiTheme="majorHAnsi" w:hAnsiTheme="majorHAnsi" w:cstheme="majorHAnsi"/>
                <w:lang w:val="es-ES_tradnl"/>
              </w:rPr>
            </w:pPr>
            <w:r w:rsidRPr="00B65908">
              <w:rPr>
                <w:rFonts w:asciiTheme="majorHAnsi" w:eastAsia="Times New Roman" w:hAnsiTheme="majorHAnsi" w:cstheme="majorHAnsi"/>
                <w:bCs/>
                <w:color w:val="000000"/>
                <w:lang w:val="es-ES_tradnl" w:eastAsia="es-EC"/>
              </w:rPr>
              <w:t>•</w:t>
            </w:r>
            <w:r w:rsidRPr="00B65908">
              <w:rPr>
                <w:rFonts w:asciiTheme="majorHAnsi" w:hAnsiTheme="majorHAnsi" w:cstheme="majorHAnsi"/>
                <w:lang w:val="es-ES_tradnl"/>
              </w:rPr>
              <w:t xml:space="preserve"> Es importante entrenar, en forma constante, la capacidad asociativa con preguntas, actividades y tareas que pongan en relación los eventos y hagan posible un pensamiento más elaborado. Las actividades de clase, en consecuencia, deben estar dirigidas a plantear y reforzar la relación de los diferentes temas y contenidos trabajados.</w:t>
            </w:r>
          </w:p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B65908">
              <w:rPr>
                <w:rFonts w:asciiTheme="majorHAnsi" w:eastAsia="Times New Roman" w:hAnsiTheme="majorHAnsi" w:cstheme="majorHAnsi"/>
                <w:bCs/>
                <w:color w:val="000000"/>
                <w:lang w:val="es-ES_tradnl" w:eastAsia="es-EC"/>
              </w:rPr>
              <w:t>•</w:t>
            </w:r>
            <w:r w:rsidRPr="00B65908">
              <w:rPr>
                <w:rFonts w:asciiTheme="majorHAnsi" w:hAnsiTheme="majorHAnsi" w:cstheme="majorHAnsi"/>
                <w:lang w:val="es-ES_tradnl"/>
              </w:rPr>
              <w:t xml:space="preserve"> Las dificultades para el manejo de operaciones numéricas puede facilitarse, en buena medida, con el uso de claves o ayudas mnemotécnicas, que contribuyan a mecanizar la serie de pasos y secuencias implícitos en una operación, dado que la comprensión y el manejo lógico del proceso reviste una gran complejidad.</w:t>
            </w:r>
          </w:p>
        </w:tc>
      </w:tr>
      <w:tr w:rsidR="002276D5" w:rsidRPr="00B65908" w:rsidTr="002276D5">
        <w:trPr>
          <w:trHeight w:val="444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276D5" w:rsidRPr="00B65908" w:rsidRDefault="002276D5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97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276D5" w:rsidRPr="00B65908" w:rsidRDefault="002276D5" w:rsidP="00B65908">
            <w:pPr>
              <w:pStyle w:val="Sinespaciado"/>
              <w:rPr>
                <w:rFonts w:asciiTheme="majorHAnsi" w:hAnsiTheme="majorHAnsi" w:cstheme="majorHAnsi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lang w:eastAsia="es-EC"/>
              </w:rPr>
              <w:t>REVISADO</w:t>
            </w:r>
            <w:r>
              <w:rPr>
                <w:rFonts w:asciiTheme="majorHAnsi" w:hAnsiTheme="majorHAnsi" w:cstheme="majorHAnsi"/>
                <w:b/>
                <w:bCs/>
                <w:color w:val="000000"/>
                <w:lang w:eastAsia="es-EC"/>
              </w:rPr>
              <w:t xml:space="preserve">                                                                                      APROBADO </w:t>
            </w:r>
          </w:p>
        </w:tc>
      </w:tr>
      <w:tr w:rsidR="007F6ED2" w:rsidRPr="00B65908" w:rsidTr="002276D5">
        <w:trPr>
          <w:trHeight w:val="431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6ED2" w:rsidRPr="00B65908" w:rsidRDefault="007F6ED2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>Docente: Lic. Elizabeth Carrillo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6ED2" w:rsidRPr="00B65908" w:rsidRDefault="007F6ED2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50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ED2" w:rsidRPr="00B65908" w:rsidRDefault="007F6ED2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7F6ED2" w:rsidRPr="00B65908" w:rsidTr="002276D5">
        <w:trPr>
          <w:trHeight w:val="182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Firma: </w:t>
            </w:r>
            <w:r w:rsidRPr="00B65908">
              <w:rPr>
                <w:rFonts w:asciiTheme="majorHAnsi" w:hAnsiTheme="majorHAnsi" w:cstheme="majorHAnsi"/>
                <w:noProof/>
                <w:sz w:val="22"/>
                <w:szCs w:val="22"/>
                <w:lang w:eastAsia="es-EC"/>
              </w:rPr>
              <w:drawing>
                <wp:inline distT="0" distB="0" distL="0" distR="0" wp14:anchorId="47CFA113" wp14:editId="03631EF6">
                  <wp:extent cx="1473477" cy="828675"/>
                  <wp:effectExtent l="0" t="0" r="0" b="0"/>
                  <wp:docPr id="2" name="Imagen 2" descr="C:\Users\Elizabeth Carrillo\Downloads\20161010_232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zabeth Carrillo\Downloads\20161010_232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122" cy="82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21066A">
              <w:t xml:space="preserve"> </w:t>
            </w:r>
            <w:r w:rsidR="0021066A">
              <w:object w:dxaOrig="3480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05pt;height:105.8pt" o:ole="">
                  <v:imagedata r:id="rId9" o:title=""/>
                </v:shape>
                <o:OLEObject Type="Embed" ProgID="PBrush" ShapeID="_x0000_i1025" DrawAspect="Content" ObjectID="_1542767294" r:id="rId10"/>
              </w:object>
            </w:r>
          </w:p>
        </w:tc>
        <w:tc>
          <w:tcPr>
            <w:tcW w:w="50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ED2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0048A1" w:rsidRDefault="00793F87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1E7B7B9D" wp14:editId="0241E5D8">
                  <wp:extent cx="1203713" cy="1085850"/>
                  <wp:effectExtent l="0" t="0" r="0" b="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831" cy="1102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0048A1" w:rsidRPr="00B65908" w:rsidRDefault="000048A1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7F6ED2" w:rsidRPr="00B65908" w:rsidTr="002276D5">
        <w:trPr>
          <w:trHeight w:val="240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noWrap/>
            <w:hideMark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0048A1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hideMark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504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0048A1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 xml:space="preserve">  8/12/2016</w:t>
            </w:r>
          </w:p>
        </w:tc>
      </w:tr>
      <w:tr w:rsidR="007F6ED2" w:rsidRPr="00B65908" w:rsidTr="002276D5">
        <w:trPr>
          <w:trHeight w:val="253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noWrap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right w:val="single" w:sz="8" w:space="0" w:color="000000"/>
            </w:tcBorders>
            <w:noWrap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04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</w:tbl>
    <w:p w:rsidR="00875DA4" w:rsidRPr="00B65908" w:rsidRDefault="00875DA4" w:rsidP="00B65908">
      <w:pPr>
        <w:rPr>
          <w:rFonts w:asciiTheme="majorHAnsi" w:hAnsiTheme="majorHAnsi" w:cstheme="majorHAnsi"/>
          <w:sz w:val="22"/>
          <w:szCs w:val="22"/>
        </w:rPr>
      </w:pPr>
    </w:p>
    <w:p w:rsidR="003B71EA" w:rsidRPr="00B65908" w:rsidRDefault="003B71EA" w:rsidP="00B65908">
      <w:pPr>
        <w:rPr>
          <w:rFonts w:asciiTheme="majorHAnsi" w:hAnsiTheme="majorHAnsi" w:cstheme="majorHAnsi"/>
          <w:sz w:val="22"/>
          <w:szCs w:val="22"/>
        </w:rPr>
      </w:pPr>
    </w:p>
    <w:sectPr w:rsidR="003B71EA" w:rsidRPr="00B65908" w:rsidSect="00875D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29C"/>
    <w:multiLevelType w:val="hybridMultilevel"/>
    <w:tmpl w:val="02C0F6A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22AE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7803A2"/>
    <w:multiLevelType w:val="hybridMultilevel"/>
    <w:tmpl w:val="019878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C7463D"/>
    <w:multiLevelType w:val="hybridMultilevel"/>
    <w:tmpl w:val="B9E050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8C9778F"/>
    <w:multiLevelType w:val="hybridMultilevel"/>
    <w:tmpl w:val="1FAEE21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A4"/>
    <w:rsid w:val="000048A1"/>
    <w:rsid w:val="00060181"/>
    <w:rsid w:val="0021066A"/>
    <w:rsid w:val="002276D5"/>
    <w:rsid w:val="003B71EA"/>
    <w:rsid w:val="00536466"/>
    <w:rsid w:val="005A0427"/>
    <w:rsid w:val="00793F87"/>
    <w:rsid w:val="007F6ED2"/>
    <w:rsid w:val="00875DA4"/>
    <w:rsid w:val="00B65908"/>
    <w:rsid w:val="00DA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A4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Ttulo4">
    <w:name w:val="heading 4"/>
    <w:basedOn w:val="Normal"/>
    <w:link w:val="Ttulo4Car"/>
    <w:uiPriority w:val="9"/>
    <w:qFormat/>
    <w:rsid w:val="00875DA4"/>
    <w:pPr>
      <w:tabs>
        <w:tab w:val="clear" w:pos="708"/>
      </w:tabs>
      <w:suppressAutoHyphens w:val="0"/>
      <w:spacing w:before="100" w:beforeAutospacing="1" w:after="100" w:afterAutospacing="1"/>
      <w:outlineLvl w:val="3"/>
    </w:pPr>
    <w:rPr>
      <w:b/>
      <w:bCs/>
      <w:color w:val="auto"/>
      <w:kern w:val="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75D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5DA4"/>
    <w:pPr>
      <w:ind w:left="720"/>
      <w:contextualSpacing/>
    </w:pPr>
  </w:style>
  <w:style w:type="paragraph" w:styleId="Sinespaciado">
    <w:name w:val="No Spacing"/>
    <w:uiPriority w:val="1"/>
    <w:qFormat/>
    <w:rsid w:val="00875DA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75DA4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75DA4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875DA4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48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8A1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A4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Ttulo4">
    <w:name w:val="heading 4"/>
    <w:basedOn w:val="Normal"/>
    <w:link w:val="Ttulo4Car"/>
    <w:uiPriority w:val="9"/>
    <w:qFormat/>
    <w:rsid w:val="00875DA4"/>
    <w:pPr>
      <w:tabs>
        <w:tab w:val="clear" w:pos="708"/>
      </w:tabs>
      <w:suppressAutoHyphens w:val="0"/>
      <w:spacing w:before="100" w:beforeAutospacing="1" w:after="100" w:afterAutospacing="1"/>
      <w:outlineLvl w:val="3"/>
    </w:pPr>
    <w:rPr>
      <w:b/>
      <w:bCs/>
      <w:color w:val="auto"/>
      <w:kern w:val="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75D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5DA4"/>
    <w:pPr>
      <w:ind w:left="720"/>
      <w:contextualSpacing/>
    </w:pPr>
  </w:style>
  <w:style w:type="paragraph" w:styleId="Sinespaciado">
    <w:name w:val="No Spacing"/>
    <w:uiPriority w:val="1"/>
    <w:qFormat/>
    <w:rsid w:val="00875DA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75DA4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75DA4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875DA4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48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8A1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BOSzL57jh3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1739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Carrillo</dc:creator>
  <cp:lastModifiedBy>CHIO</cp:lastModifiedBy>
  <cp:revision>3</cp:revision>
  <cp:lastPrinted>2016-12-09T10:42:00Z</cp:lastPrinted>
  <dcterms:created xsi:type="dcterms:W3CDTF">2016-12-08T13:18:00Z</dcterms:created>
  <dcterms:modified xsi:type="dcterms:W3CDTF">2016-12-09T10:42:00Z</dcterms:modified>
</cp:coreProperties>
</file>