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481" w:type="dxa"/>
        <w:tblInd w:w="-1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1"/>
        <w:gridCol w:w="734"/>
        <w:gridCol w:w="87"/>
        <w:gridCol w:w="122"/>
        <w:gridCol w:w="175"/>
        <w:gridCol w:w="698"/>
        <w:gridCol w:w="346"/>
        <w:gridCol w:w="1557"/>
        <w:gridCol w:w="1006"/>
        <w:gridCol w:w="1131"/>
        <w:gridCol w:w="1055"/>
        <w:gridCol w:w="1101"/>
        <w:gridCol w:w="1764"/>
        <w:gridCol w:w="244"/>
        <w:gridCol w:w="556"/>
        <w:gridCol w:w="3784"/>
      </w:tblGrid>
      <w:tr w:rsidR="007F21AF" w:rsidTr="001575B3">
        <w:trPr>
          <w:trHeight w:val="538"/>
        </w:trPr>
        <w:tc>
          <w:tcPr>
            <w:tcW w:w="2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4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1575B3">
        <w:trPr>
          <w:trHeight w:val="207"/>
        </w:trPr>
        <w:tc>
          <w:tcPr>
            <w:tcW w:w="154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 w:rsidTr="001575B3">
        <w:trPr>
          <w:trHeight w:val="326"/>
        </w:trPr>
        <w:tc>
          <w:tcPr>
            <w:tcW w:w="154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2D462E" w:rsidP="002D462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2D462E">
              <w:rPr>
                <w:rFonts w:asciiTheme="minorHAnsi" w:hAnsiTheme="minorHAnsi"/>
                <w:b/>
                <w:sz w:val="24"/>
                <w:szCs w:val="24"/>
              </w:rPr>
              <w:t>INFORMATIONAL DATA</w:t>
            </w:r>
          </w:p>
        </w:tc>
      </w:tr>
      <w:tr w:rsidR="00F51CEC" w:rsidTr="001575B3">
        <w:trPr>
          <w:trHeight w:val="358"/>
        </w:trPr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NEIVA ARAUJO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FOREIGN LANGUAGE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2D462E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GRADE: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THIRD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2D462E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</w:p>
        </w:tc>
      </w:tr>
      <w:tr w:rsidR="00390963" w:rsidRPr="00F51CEC" w:rsidTr="001575B3">
        <w:trPr>
          <w:trHeight w:val="347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18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343B7D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43B7D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KID’S BOX FOR ECUADOR 1B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212FBF" w:rsidP="00140D9D">
            <w:pPr>
              <w:spacing w:after="171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7449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478B" w:rsidRDefault="0078478B" w:rsidP="0078478B">
            <w:p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Develop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creative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critical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thinking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skills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foster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problem-solving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support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learning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using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both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spoken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78478B">
              <w:rPr>
                <w:rFonts w:asciiTheme="minorHAnsi" w:hAnsiTheme="minorHAnsi"/>
                <w:sz w:val="16"/>
                <w:szCs w:val="16"/>
              </w:rPr>
              <w:t>written</w:t>
            </w:r>
            <w:proofErr w:type="spellEnd"/>
            <w:r w:rsidRPr="0078478B">
              <w:rPr>
                <w:rFonts w:asciiTheme="minorHAnsi" w:hAnsiTheme="minorHAnsi"/>
                <w:sz w:val="16"/>
                <w:szCs w:val="16"/>
              </w:rPr>
              <w:t xml:space="preserve">  English. Ref. O.EFL 2.4</w:t>
            </w:r>
          </w:p>
          <w:p w:rsidR="0078478B" w:rsidRDefault="00466595" w:rsidP="007847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O.EFL 2.5</w:t>
            </w:r>
            <w:r w:rsidR="0078478B" w:rsidRPr="0078478B">
              <w:rPr>
                <w:rFonts w:asciiTheme="minorHAnsi" w:hAnsiTheme="minorHAnsi"/>
                <w:sz w:val="16"/>
                <w:szCs w:val="16"/>
              </w:rPr>
              <w:t>Use in-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class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library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resources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and explore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the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use of ICT to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enrich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competencies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in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the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four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8478B" w:rsidRPr="0078478B">
              <w:rPr>
                <w:rFonts w:asciiTheme="minorHAnsi" w:hAnsiTheme="minorHAnsi"/>
                <w:sz w:val="16"/>
                <w:szCs w:val="16"/>
              </w:rPr>
              <w:t>skills</w:t>
            </w:r>
            <w:proofErr w:type="spellEnd"/>
            <w:r w:rsidR="0078478B" w:rsidRPr="0078478B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466595" w:rsidRDefault="00466595" w:rsidP="00466595">
            <w:pPr>
              <w:rPr>
                <w:rFonts w:asciiTheme="minorHAnsi" w:hAnsiTheme="minorHAnsi"/>
                <w:sz w:val="16"/>
                <w:szCs w:val="16"/>
              </w:rPr>
            </w:pPr>
            <w:r w:rsidRPr="00466595">
              <w:rPr>
                <w:rFonts w:asciiTheme="minorHAnsi" w:hAnsiTheme="minorHAnsi"/>
                <w:sz w:val="16"/>
                <w:szCs w:val="16"/>
              </w:rPr>
              <w:t xml:space="preserve">O.EFL 2.6Write short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descriptive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informative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texts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and use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them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as a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means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communication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and 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expression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proofErr w:type="spellStart"/>
            <w:r w:rsidRPr="00466595">
              <w:rPr>
                <w:rFonts w:asciiTheme="minorHAnsi" w:hAnsiTheme="minorHAnsi"/>
                <w:sz w:val="16"/>
                <w:szCs w:val="16"/>
              </w:rPr>
              <w:t>thought</w:t>
            </w:r>
            <w:proofErr w:type="spellEnd"/>
            <w:r w:rsidRPr="00466595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5048B3" w:rsidRDefault="005048B3" w:rsidP="005048B3">
            <w:pPr>
              <w:rPr>
                <w:rFonts w:asciiTheme="minorHAnsi" w:hAnsiTheme="minorHAnsi"/>
                <w:sz w:val="16"/>
                <w:szCs w:val="16"/>
              </w:rPr>
            </w:pPr>
            <w:r w:rsidRPr="00466595">
              <w:rPr>
                <w:rFonts w:asciiTheme="minorHAnsi" w:hAnsiTheme="minorHAnsi"/>
                <w:sz w:val="16"/>
                <w:szCs w:val="16"/>
              </w:rPr>
              <w:t>O.EFL 2.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7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Appreciate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the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use of English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language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through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spoken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written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literary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texts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such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as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poems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rhymes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chants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riddles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songs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in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order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foster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imagination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curiosity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and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memory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while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developing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a taste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for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048B3">
              <w:rPr>
                <w:rFonts w:asciiTheme="minorHAnsi" w:hAnsiTheme="minorHAnsi"/>
                <w:sz w:val="16"/>
                <w:szCs w:val="16"/>
              </w:rPr>
              <w:t>literature</w:t>
            </w:r>
            <w:proofErr w:type="spellEnd"/>
            <w:r w:rsidRPr="005048B3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C33A04" w:rsidRPr="00C33A04" w:rsidRDefault="00C33A04" w:rsidP="00C33A04">
            <w:pPr>
              <w:rPr>
                <w:rFonts w:asciiTheme="minorHAnsi" w:hAnsiTheme="minorHAnsi"/>
                <w:sz w:val="16"/>
                <w:szCs w:val="16"/>
              </w:rPr>
            </w:pPr>
            <w:r w:rsidRPr="00C33A04">
              <w:rPr>
                <w:rFonts w:asciiTheme="minorHAnsi" w:hAnsiTheme="minorHAnsi"/>
                <w:sz w:val="16"/>
                <w:szCs w:val="16"/>
              </w:rPr>
              <w:t xml:space="preserve">Be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able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interact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in English in a simple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way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using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basic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expressions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and short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phrases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in familiar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contexts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to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satisfy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needs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 xml:space="preserve"> of a concrete </w:t>
            </w:r>
            <w:proofErr w:type="spellStart"/>
            <w:r w:rsidRPr="00C33A04">
              <w:rPr>
                <w:rFonts w:asciiTheme="minorHAnsi" w:hAnsiTheme="minorHAnsi"/>
                <w:sz w:val="16"/>
                <w:szCs w:val="16"/>
              </w:rPr>
              <w:t>type</w:t>
            </w:r>
            <w:proofErr w:type="spellEnd"/>
            <w:r w:rsidRPr="00C33A04">
              <w:rPr>
                <w:rFonts w:asciiTheme="minorHAnsi" w:hAnsiTheme="minorHAnsi"/>
                <w:sz w:val="16"/>
                <w:szCs w:val="16"/>
              </w:rPr>
              <w:t>. Ref. O.EFL 2.9</w:t>
            </w:r>
          </w:p>
          <w:p w:rsidR="00390963" w:rsidRPr="0078478B" w:rsidRDefault="00390963" w:rsidP="00C33A04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390963" w:rsidRPr="00F51CEC" w:rsidTr="001575B3">
        <w:trPr>
          <w:trHeight w:val="1855"/>
        </w:trPr>
        <w:tc>
          <w:tcPr>
            <w:tcW w:w="11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FE4A8E" w:rsidRDefault="00390963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 w:rsidP="00140D9D">
            <w:pPr>
              <w:ind w:left="7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43B7D" w:rsidP="00212F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WILD ANIMALS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49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1575B3">
        <w:trPr>
          <w:trHeight w:val="499"/>
        </w:trPr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585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744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212FBF" w:rsidP="00212F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September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05th 2016 -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28th 2016</w:t>
            </w:r>
          </w:p>
        </w:tc>
      </w:tr>
      <w:tr w:rsidR="00FC209D" w:rsidTr="001575B3">
        <w:trPr>
          <w:trHeight w:val="293"/>
        </w:trPr>
        <w:tc>
          <w:tcPr>
            <w:tcW w:w="1548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1575B3">
        <w:trPr>
          <w:trHeight w:val="373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B434F4" w:rsidTr="001575B3">
        <w:trPr>
          <w:trHeight w:val="1822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E0148C" w:rsidRDefault="00E0148C" w:rsidP="00B434F4">
            <w:pPr>
              <w:ind w:left="72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EFL 2.2.3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Recognize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familiar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names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words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and short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phrases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about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simple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everyday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topics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whether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heard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in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isolation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or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within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short, simple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spoken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texts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describing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people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objects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. (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Example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: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vocabulary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about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self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family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friends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immediate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surroundings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at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school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home,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adjectives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for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color and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size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, etc.)</w:t>
            </w:r>
          </w:p>
          <w:p w:rsidR="00E0148C" w:rsidRPr="00E0148C" w:rsidRDefault="00E0148C" w:rsidP="00B434F4">
            <w:pPr>
              <w:ind w:left="72"/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</w:p>
          <w:p w:rsidR="00E0148C" w:rsidRPr="00E0148C" w:rsidRDefault="00E0148C" w:rsidP="00B434F4">
            <w:pPr>
              <w:ind w:left="72"/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EFL 2.2.4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Identify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items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of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specific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information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within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simple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messages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or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from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short and simple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descriptions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about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familiar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contexts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especially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if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visual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support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provided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. (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Example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: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letters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of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alphabet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numbers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prices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times,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days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dates and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months</w:t>
            </w:r>
            <w:proofErr w:type="gramStart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,etc</w:t>
            </w:r>
            <w:proofErr w:type="spellEnd"/>
            <w:proofErr w:type="gramEnd"/>
            <w:r w:rsidRPr="00E0148C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.</w:t>
            </w:r>
          </w:p>
          <w:p w:rsidR="00E0148C" w:rsidRPr="00E0148C" w:rsidRDefault="00E0148C" w:rsidP="00B434F4">
            <w:pPr>
              <w:ind w:left="72"/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</w:p>
          <w:p w:rsidR="00E0148C" w:rsidRDefault="00E0148C" w:rsidP="00B434F4">
            <w:pPr>
              <w:ind w:left="72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EFL 2.2.5 Record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key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items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specific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information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from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heard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message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or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description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either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in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written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form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or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by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drawing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picture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. (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Example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letters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alphabet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numbers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quantities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prices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 and times,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days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 xml:space="preserve">, dates and </w:t>
            </w:r>
            <w:proofErr w:type="spellStart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months</w:t>
            </w:r>
            <w:proofErr w:type="spellEnd"/>
            <w:r w:rsidRPr="00E0148C">
              <w:rPr>
                <w:rFonts w:ascii="Arial" w:hAnsi="Arial" w:cs="Arial"/>
                <w:sz w:val="20"/>
                <w:szCs w:val="20"/>
                <w:lang w:val="es-ES"/>
              </w:rPr>
              <w:t>, etc.)</w:t>
            </w:r>
          </w:p>
          <w:p w:rsidR="008D628B" w:rsidRDefault="008D628B" w:rsidP="00B434F4">
            <w:pPr>
              <w:ind w:left="7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628B" w:rsidRPr="008D628B" w:rsidRDefault="008D628B" w:rsidP="008D628B">
            <w:pPr>
              <w:spacing w:after="229" w:line="253" w:lineRule="auto"/>
              <w:ind w:right="63"/>
              <w:jc w:val="both"/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EFL 2.2.8  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Imitate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individual English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language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sounds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especially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those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phonemes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which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do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not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exist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in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student’s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own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L1,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both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in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isolation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lastRenderedPageBreak/>
              <w:t>within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key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vocabulary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items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. (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Example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: /ŋ/ /ð/ /ʌ/ /i</w:t>
            </w:r>
            <w:proofErr w:type="gram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:/</w:t>
            </w:r>
            <w:proofErr w:type="gram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in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words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like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singing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these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, up, sea, etc.)</w:t>
            </w:r>
          </w:p>
          <w:p w:rsidR="00E0148C" w:rsidRDefault="008D628B" w:rsidP="00B434F4">
            <w:pPr>
              <w:ind w:left="72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EFL 2.2.11   Produce simple,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mainly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isolated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utterances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using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very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short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phrases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sometimes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individual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words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possibly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with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slow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and/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or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hesitant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delivery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. (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Example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: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words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phrases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and short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sentences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about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people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animals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things</w:t>
            </w:r>
            <w:proofErr w:type="spellEnd"/>
            <w:r w:rsidRPr="008D628B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, etc.)</w:t>
            </w:r>
          </w:p>
          <w:p w:rsidR="008D628B" w:rsidRDefault="008D628B" w:rsidP="00B434F4">
            <w:pPr>
              <w:ind w:left="72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628B" w:rsidRDefault="007676AA" w:rsidP="00B434F4">
            <w:pPr>
              <w:ind w:left="72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Respond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to simple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questions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in quite a short time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when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there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are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opportunities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to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speak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Speech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is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produced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little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less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slowly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hesitantly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. (</w:t>
            </w:r>
            <w:proofErr w:type="spellStart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Ref</w:t>
            </w:r>
            <w:proofErr w:type="spellEnd"/>
            <w:r w:rsidRPr="007676AA">
              <w:rPr>
                <w:rFonts w:ascii="Arial" w:hAnsi="Arial" w:cs="Arial"/>
                <w:sz w:val="20"/>
                <w:szCs w:val="20"/>
                <w:lang w:val="es-ES"/>
              </w:rPr>
              <w:t>: EFL 2.2.12)</w:t>
            </w:r>
          </w:p>
          <w:p w:rsidR="00BF6615" w:rsidRPr="007676AA" w:rsidRDefault="00BF6615" w:rsidP="00B434F4">
            <w:pPr>
              <w:ind w:left="72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1575B3">
            <w:pPr>
              <w:ind w:left="72" w:firstLine="7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434F4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DC0">
              <w:rPr>
                <w:rFonts w:asciiTheme="minorHAnsi" w:hAnsiTheme="minorHAnsi"/>
                <w:b/>
                <w:sz w:val="20"/>
                <w:szCs w:val="20"/>
              </w:rPr>
              <w:t>CE.EFL.2.7.</w:t>
            </w:r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Listening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for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Information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Follow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short and simple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spoken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texts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that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include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familiar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vocabulary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and are set in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everyday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contexts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Identify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key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items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information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within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text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, and record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act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upon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them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E0DC0" w:rsidRDefault="002E0DC0" w:rsidP="002E0DC0">
            <w:pPr>
              <w:ind w:left="72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97EA4" w:rsidRDefault="00E97EA4" w:rsidP="002E0DC0">
            <w:pPr>
              <w:ind w:left="72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97EA4" w:rsidRDefault="00E97EA4" w:rsidP="002E0DC0">
            <w:pPr>
              <w:ind w:left="72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97EA4" w:rsidRDefault="00E97EA4" w:rsidP="002E0DC0">
            <w:pPr>
              <w:ind w:left="72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E0DC0" w:rsidRPr="002E0DC0" w:rsidRDefault="002E0DC0" w:rsidP="00E97EA4">
            <w:pPr>
              <w:ind w:left="7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E0DC0">
              <w:rPr>
                <w:rFonts w:asciiTheme="minorHAnsi" w:hAnsiTheme="minorHAnsi"/>
                <w:b/>
                <w:sz w:val="20"/>
                <w:szCs w:val="20"/>
              </w:rPr>
              <w:t>CE.EFL.2.9.</w:t>
            </w:r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Production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Fluency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Utterances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are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sometimes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produced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slowly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but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use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appropriate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words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phrases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express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basic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ideas,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initiate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conversations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respond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questions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including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some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chunks</w:t>
            </w:r>
            <w:proofErr w:type="spellEnd"/>
            <w:r w:rsidR="00E97EA4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2E0D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97EA4">
              <w:rPr>
                <w:rFonts w:asciiTheme="minorHAnsi" w:hAnsiTheme="minorHAnsi"/>
                <w:sz w:val="20"/>
                <w:szCs w:val="20"/>
              </w:rPr>
              <w:t xml:space="preserve">           of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language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 xml:space="preserve"> and short </w:t>
            </w:r>
            <w:proofErr w:type="spellStart"/>
            <w:r w:rsidRPr="002E0DC0">
              <w:rPr>
                <w:rFonts w:asciiTheme="minorHAnsi" w:hAnsiTheme="minorHAnsi"/>
                <w:sz w:val="20"/>
                <w:szCs w:val="20"/>
              </w:rPr>
              <w:t>sentences</w:t>
            </w:r>
            <w:proofErr w:type="spellEnd"/>
            <w:r w:rsidRPr="002E0DC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0148C" w:rsidTr="001575B3">
        <w:trPr>
          <w:trHeight w:val="731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48C" w:rsidRPr="00A977C2" w:rsidRDefault="007676AA" w:rsidP="00BF6615">
            <w:pPr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  <w:r w:rsidRPr="00A977C2"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lang w:val="es-ES"/>
              </w:rPr>
              <w:lastRenderedPageBreak/>
              <w:t xml:space="preserve">EFL 2.3.1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Demonstrate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basic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reading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comprehension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skills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by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identifying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meaning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of individual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words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phrases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and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sentences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,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including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simple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written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instructions</w:t>
            </w:r>
            <w:proofErr w:type="spellEnd"/>
          </w:p>
          <w:p w:rsidR="00F22F80" w:rsidRPr="00A977C2" w:rsidRDefault="00F22F80" w:rsidP="00BF6615">
            <w:pPr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D8" w:rsidRDefault="00C52FD8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0148C" w:rsidRPr="00C52FD8" w:rsidRDefault="00C52FD8" w:rsidP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C52FD8">
              <w:rPr>
                <w:rFonts w:asciiTheme="minorHAnsi" w:hAnsiTheme="minorHAnsi"/>
                <w:b/>
                <w:sz w:val="20"/>
                <w:szCs w:val="20"/>
              </w:rPr>
              <w:t xml:space="preserve">CE.EFL.2.11.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Identify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understand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every-day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words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phrases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, and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sentences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including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instructions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977C2" w:rsidTr="001575B3">
        <w:trPr>
          <w:trHeight w:val="872"/>
        </w:trPr>
        <w:tc>
          <w:tcPr>
            <w:tcW w:w="69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7C2" w:rsidRPr="00A977C2" w:rsidRDefault="00A977C2" w:rsidP="00BF6615">
            <w:pPr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  <w:r w:rsidRPr="00A977C2">
              <w:rPr>
                <w:rFonts w:ascii="Arial" w:hAnsi="Arial" w:cs="Arial"/>
                <w:b/>
                <w:sz w:val="20"/>
                <w:szCs w:val="20"/>
                <w:highlight w:val="cyan"/>
                <w:lang w:val="es-ES"/>
              </w:rPr>
              <w:t>EFL 2.3.2</w:t>
            </w:r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Read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 short simple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text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(online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or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print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) and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demonstrate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understanding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of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gist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and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some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basic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details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of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the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content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  <w:t>.</w:t>
            </w:r>
          </w:p>
          <w:p w:rsidR="00A977C2" w:rsidRPr="00A977C2" w:rsidRDefault="00A977C2" w:rsidP="00BF6615">
            <w:pPr>
              <w:rPr>
                <w:rFonts w:ascii="Arial" w:hAnsi="Arial" w:cs="Arial"/>
                <w:sz w:val="20"/>
                <w:szCs w:val="20"/>
                <w:highlight w:val="cyan"/>
                <w:lang w:val="es-ES"/>
              </w:rPr>
            </w:pPr>
          </w:p>
          <w:p w:rsidR="00A977C2" w:rsidRPr="00A977C2" w:rsidRDefault="00A977C2" w:rsidP="00BF6615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lang w:val="es-ES"/>
              </w:rPr>
            </w:pPr>
            <w:r w:rsidRPr="00A977C2">
              <w:rPr>
                <w:rFonts w:ascii="Arial" w:hAnsi="Arial" w:cs="Arial"/>
                <w:b/>
                <w:sz w:val="20"/>
                <w:szCs w:val="20"/>
                <w:lang w:val="es-ES"/>
              </w:rPr>
              <w:t>EFL 2.3.3</w:t>
            </w:r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Understand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most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details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the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content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of a short simple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text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(online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or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print</w:t>
            </w:r>
            <w:proofErr w:type="spellEnd"/>
            <w:r w:rsidRPr="00A977C2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D8" w:rsidRDefault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52FD8" w:rsidRDefault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A977C2" w:rsidRPr="00FE4A8E" w:rsidRDefault="00C52FD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C52FD8">
              <w:rPr>
                <w:rFonts w:asciiTheme="minorHAnsi" w:hAnsiTheme="minorHAnsi"/>
                <w:b/>
                <w:sz w:val="20"/>
                <w:szCs w:val="20"/>
              </w:rPr>
              <w:t xml:space="preserve">CE.EFL.2.12.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Understand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gist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details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in short simple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written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texts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(online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52FD8">
              <w:rPr>
                <w:rFonts w:asciiTheme="minorHAnsi" w:hAnsiTheme="minorHAnsi"/>
                <w:sz w:val="20"/>
                <w:szCs w:val="20"/>
              </w:rPr>
              <w:t>print</w:t>
            </w:r>
            <w:proofErr w:type="spellEnd"/>
            <w:r w:rsidRPr="00C52FD8">
              <w:rPr>
                <w:rFonts w:asciiTheme="minorHAnsi" w:hAnsiTheme="minorHAnsi"/>
                <w:sz w:val="20"/>
                <w:szCs w:val="20"/>
              </w:rPr>
              <w:t>).</w:t>
            </w:r>
          </w:p>
        </w:tc>
      </w:tr>
      <w:tr w:rsidR="009D1537" w:rsidTr="001575B3">
        <w:trPr>
          <w:trHeight w:val="373"/>
        </w:trPr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FE4A8E" w:rsidRDefault="009D1537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9D1537" w:rsidTr="001575B3">
        <w:trPr>
          <w:trHeight w:val="1397"/>
        </w:trPr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P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Vocabulary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: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Animals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body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parts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P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Grammar</w:t>
            </w:r>
            <w:proofErr w:type="spellEnd"/>
            <w:proofErr w:type="gramStart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They</w:t>
            </w:r>
            <w:proofErr w:type="spellEnd"/>
            <w:proofErr w:type="gram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have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big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mouths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).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They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don't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have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tails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). Do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they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have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long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legs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)</w:t>
            </w:r>
            <w:proofErr w:type="gram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?</w:t>
            </w:r>
            <w:proofErr w:type="gram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How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many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(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teeth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) do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they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have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?</w:t>
            </w:r>
          </w:p>
          <w:p w:rsidR="0071391A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proofErr w:type="spellStart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Story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Phonics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:</w:t>
            </w:r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Trevor. Marie,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Monty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Maskman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encounter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wild 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animals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P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A464A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Short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vowel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sound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: 'i'  (</w:t>
            </w:r>
            <w:proofErr w:type="spellStart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six</w:t>
            </w:r>
            <w:proofErr w:type="spellEnd"/>
            <w:r w:rsidRPr="009D1537">
              <w:rPr>
                <w:rFonts w:asciiTheme="minorHAnsi" w:eastAsia="Times New Roman" w:hAnsiTheme="minorHAnsi" w:cs="Times New Roman"/>
                <w:sz w:val="20"/>
                <w:szCs w:val="20"/>
              </w:rPr>
              <w:t>).</w:t>
            </w: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Pr="00A464AF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*Look,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point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at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pictures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repeat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                                                                       *Look at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picture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say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chant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                                                              *Look at </w:t>
            </w:r>
            <w:proofErr w:type="spellStart"/>
            <w:proofErr w:type="gram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pictures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,</w:t>
            </w:r>
            <w:proofErr w:type="gram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listen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answer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                                                                 *Look at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pictures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point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repeat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                                                                    *Look at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pictures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sing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song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Pr="00A464AF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*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Act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out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say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Pr="00A464AF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*Play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game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ask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answer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pairs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Pr="00A464AF" w:rsidRDefault="009D1537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*Listen and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follow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 </w:t>
            </w:r>
            <w:proofErr w:type="spellStart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story</w:t>
            </w:r>
            <w:proofErr w:type="spellEnd"/>
            <w:r w:rsidRPr="00A464AF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9D1537" w:rsidRPr="00FE4A8E" w:rsidRDefault="009D1537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4AF" w:rsidRPr="00F9140E" w:rsidRDefault="00A464AF" w:rsidP="00067E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140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RESOURCES: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Kid's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Box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Student's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Book 1,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Interactive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DVD-ROM,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Workbook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Teacher`s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book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flashcards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Teacher`s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resource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book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9D1537" w:rsidRDefault="00A464AF" w:rsidP="00067E8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140E">
              <w:rPr>
                <w:rFonts w:asciiTheme="minorHAnsi" w:hAnsiTheme="minorHAnsi"/>
                <w:sz w:val="20"/>
                <w:szCs w:val="20"/>
              </w:rPr>
              <w:t xml:space="preserve">MATERIALS: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Flashcards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photocopiable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activit</w:t>
            </w:r>
            <w:r w:rsidR="00F9140E">
              <w:rPr>
                <w:rFonts w:asciiTheme="minorHAnsi" w:hAnsiTheme="minorHAnsi"/>
                <w:sz w:val="20"/>
                <w:szCs w:val="20"/>
              </w:rPr>
              <w:t>ies</w:t>
            </w:r>
            <w:proofErr w:type="spellEnd"/>
            <w:r w:rsid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F9140E">
              <w:rPr>
                <w:rFonts w:asciiTheme="minorHAnsi" w:hAnsiTheme="minorHAnsi"/>
                <w:sz w:val="20"/>
                <w:szCs w:val="20"/>
              </w:rPr>
              <w:t>reinforcement</w:t>
            </w:r>
            <w:proofErr w:type="spellEnd"/>
            <w:r w:rsid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F9140E">
              <w:rPr>
                <w:rFonts w:asciiTheme="minorHAnsi" w:hAnsiTheme="minorHAnsi"/>
                <w:sz w:val="20"/>
                <w:szCs w:val="20"/>
              </w:rPr>
              <w:t>worksheets</w:t>
            </w:r>
            <w:proofErr w:type="spellEnd"/>
            <w:r w:rsid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F9140E">
              <w:rPr>
                <w:rFonts w:asciiTheme="minorHAnsi" w:hAnsiTheme="minorHAnsi"/>
                <w:sz w:val="20"/>
                <w:szCs w:val="20"/>
              </w:rPr>
              <w:t xml:space="preserve">animal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word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cards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large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piece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paper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wool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two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erasers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seven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pencils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different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colors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), audio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 video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recorder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 xml:space="preserve">, and </w:t>
            </w:r>
            <w:proofErr w:type="spellStart"/>
            <w:r w:rsidRPr="00F9140E">
              <w:rPr>
                <w:rFonts w:asciiTheme="minorHAnsi" w:hAnsiTheme="minorHAnsi"/>
                <w:sz w:val="20"/>
                <w:szCs w:val="20"/>
              </w:rPr>
              <w:t>envelopes</w:t>
            </w:r>
            <w:proofErr w:type="spellEnd"/>
            <w:r w:rsidRPr="00F9140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F9140E" w:rsidRDefault="00F9140E" w:rsidP="00067E8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9140E" w:rsidRDefault="00F9140E" w:rsidP="00067E8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9140E" w:rsidRPr="00FE4A8E" w:rsidRDefault="00F9140E" w:rsidP="00067E8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537" w:rsidRDefault="00CD4AFF" w:rsidP="00067E88">
            <w:pPr>
              <w:ind w:left="72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CD4AF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I.EFL.2.7.1.</w:t>
            </w:r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Learners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can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understand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short and simple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spoken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texts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well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enough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be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able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pick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out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key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items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of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information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record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them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writing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or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drawings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or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physically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act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upon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them</w:t>
            </w:r>
            <w:proofErr w:type="spellEnd"/>
            <w:r w:rsidRPr="00172D98">
              <w:rPr>
                <w:rFonts w:asciiTheme="minorHAnsi" w:eastAsia="Times New Roman" w:hAnsiTheme="minorHAnsi" w:cs="Times New Roman"/>
                <w:sz w:val="20"/>
                <w:szCs w:val="20"/>
              </w:rPr>
              <w:t>. (I.3)</w:t>
            </w:r>
          </w:p>
          <w:p w:rsidR="0047013B" w:rsidRDefault="0047013B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7013B" w:rsidRPr="0047013B" w:rsidRDefault="0047013B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47013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I.EFL.2.9.1</w:t>
            </w:r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Learners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can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express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basic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ideas,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initiate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conversations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and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respond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simple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questions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using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appropriate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words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phrases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and short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sentences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 Responses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may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be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slow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though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pauses do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not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make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interaction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tedious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or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uncomfortable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for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participants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. (I.3)</w:t>
            </w:r>
          </w:p>
          <w:p w:rsidR="00172D98" w:rsidRDefault="00172D98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47013B" w:rsidRDefault="0047013B" w:rsidP="00067E88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Learners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can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understand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familiar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words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phrases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and short simple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sentences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can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supportly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complete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simple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accompanying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task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. (I.4).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Ref.: I</w:t>
            </w:r>
            <w:r w:rsidRPr="0047013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.EFL.2.11.1.</w:t>
            </w:r>
          </w:p>
          <w:p w:rsidR="00172D98" w:rsidRDefault="00172D98" w:rsidP="00067E88">
            <w:pPr>
              <w:ind w:left="72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1575B3" w:rsidRDefault="001575B3" w:rsidP="00067E88">
            <w:pPr>
              <w:ind w:left="72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  <w:p w:rsidR="00172D98" w:rsidRPr="00FE4A8E" w:rsidRDefault="0047013B" w:rsidP="001575B3">
            <w:pPr>
              <w:ind w:left="72"/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lastRenderedPageBreak/>
              <w:t>Learners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can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understand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 short simple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text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on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an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everyday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topic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supportly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complete a simple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task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show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that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have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understood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most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or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some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of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it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 (I.4). Ref.: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I</w:t>
            </w:r>
            <w:r w:rsidRPr="0047013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.EFL.2.12.1.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13B" w:rsidRPr="0047013B" w:rsidRDefault="0047013B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47013B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 xml:space="preserve">EVALUATION: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Students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will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be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assessed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formally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through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use of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evaluations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which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are similar to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test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tasks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YLE.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These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evaluations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test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their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knowledge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of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grammar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and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vocabulary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presented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units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This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also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includes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listening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067E88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</w:t>
            </w:r>
            <w:r w:rsidR="00067E88"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material.</w:t>
            </w:r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language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portfolio,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which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reflects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students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’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progress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on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their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own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terms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will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also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be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used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indicate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students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’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progress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9D1537" w:rsidRDefault="0047013B" w:rsidP="00067E88">
            <w:pPr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Informal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evaluation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will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take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place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throughout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units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assessing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the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students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’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ability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complete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each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activity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according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to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contents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.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Teachers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Resource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pack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will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provide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extra material to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assess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different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learning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styles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in a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periodic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way</w:t>
            </w:r>
            <w:proofErr w:type="spellEnd"/>
            <w:r w:rsidRPr="0047013B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  <w:p w:rsidR="0047013B" w:rsidRDefault="0047013B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47013B" w:rsidRDefault="0047013B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47013B" w:rsidRDefault="0047013B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47013B" w:rsidRDefault="0047013B" w:rsidP="0047013B">
            <w:pPr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:rsidR="0047013B" w:rsidRPr="00FE4A8E" w:rsidRDefault="0047013B" w:rsidP="0047013B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</w:p>
        </w:tc>
      </w:tr>
      <w:tr w:rsidR="00B434F4" w:rsidTr="001575B3">
        <w:trPr>
          <w:trHeight w:val="373"/>
        </w:trPr>
        <w:tc>
          <w:tcPr>
            <w:tcW w:w="154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B434F4" w:rsidTr="001575B3">
        <w:trPr>
          <w:trHeight w:val="373"/>
        </w:trPr>
        <w:tc>
          <w:tcPr>
            <w:tcW w:w="4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106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B434F4" w:rsidTr="001575B3">
        <w:trPr>
          <w:trHeight w:val="373"/>
        </w:trPr>
        <w:tc>
          <w:tcPr>
            <w:tcW w:w="4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6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</w:tr>
      <w:tr w:rsidR="006E785C" w:rsidRPr="00B434F4" w:rsidTr="001575B3">
        <w:trPr>
          <w:trHeight w:val="373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956BCD" w:rsidRDefault="00522DC8" w:rsidP="00B434F4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956BCD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Natural Science: animals; Values: love nature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7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956BCD" w:rsidRDefault="00956BCD" w:rsidP="00793023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>Faith</w:t>
            </w:r>
            <w:proofErr w:type="spellEnd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>fraternity</w:t>
            </w:r>
            <w:proofErr w:type="spellEnd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>service</w:t>
            </w:r>
            <w:proofErr w:type="spellEnd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>commitment</w:t>
            </w:r>
            <w:proofErr w:type="spellEnd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, </w:t>
            </w:r>
            <w:proofErr w:type="spellStart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>justice</w:t>
            </w:r>
            <w:proofErr w:type="spellEnd"/>
            <w:r w:rsidR="00793023" w:rsidRPr="00956BCD">
              <w:rPr>
                <w:rFonts w:asciiTheme="minorHAnsi" w:eastAsia="Times New Roman" w:hAnsiTheme="minorHAnsi" w:cs="Times New Roman"/>
                <w:sz w:val="20"/>
                <w:szCs w:val="20"/>
              </w:rPr>
              <w:t>.</w:t>
            </w:r>
          </w:p>
        </w:tc>
      </w:tr>
      <w:tr w:rsidR="007F21AF" w:rsidRPr="00B434F4" w:rsidTr="001575B3">
        <w:trPr>
          <w:trHeight w:val="373"/>
        </w:trPr>
        <w:tc>
          <w:tcPr>
            <w:tcW w:w="3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1575B3">
        <w:trPr>
          <w:trHeight w:val="373"/>
        </w:trPr>
        <w:tc>
          <w:tcPr>
            <w:tcW w:w="3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Neiva Araujo</w:t>
            </w: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1575B3">
        <w:trPr>
          <w:trHeight w:val="373"/>
        </w:trPr>
        <w:tc>
          <w:tcPr>
            <w:tcW w:w="3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767EA4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767EA4" w:rsidRPr="00F510B1">
              <w:rPr>
                <w:noProof/>
              </w:rPr>
              <w:drawing>
                <wp:inline distT="0" distB="0" distL="0" distR="0" wp14:anchorId="3B3E4329" wp14:editId="5EA34001">
                  <wp:extent cx="2009140" cy="685800"/>
                  <wp:effectExtent l="0" t="0" r="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965" cy="69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1575B3">
        <w:trPr>
          <w:trHeight w:val="373"/>
        </w:trPr>
        <w:tc>
          <w:tcPr>
            <w:tcW w:w="3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roofErr w:type="spellStart"/>
            <w:r w:rsidR="00E447AA">
              <w:rPr>
                <w:rFonts w:asciiTheme="minorHAnsi" w:hAnsiTheme="minorHAnsi"/>
                <w:b/>
                <w:sz w:val="20"/>
                <w:szCs w:val="20"/>
              </w:rPr>
              <w:t>September</w:t>
            </w:r>
            <w:proofErr w:type="spellEnd"/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13th, 2016</w:t>
            </w:r>
          </w:p>
        </w:tc>
        <w:tc>
          <w:tcPr>
            <w:tcW w:w="5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447AA">
              <w:rPr>
                <w:rFonts w:asciiTheme="minorHAnsi" w:hAnsiTheme="minorHAnsi"/>
                <w:b/>
                <w:sz w:val="20"/>
                <w:szCs w:val="20"/>
              </w:rPr>
              <w:t>September</w:t>
            </w:r>
            <w:proofErr w:type="spellEnd"/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13th, 2016</w:t>
            </w: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447AA">
              <w:rPr>
                <w:rFonts w:asciiTheme="minorHAnsi" w:hAnsiTheme="minorHAnsi"/>
                <w:b/>
                <w:sz w:val="20"/>
                <w:szCs w:val="20"/>
              </w:rPr>
              <w:t>September</w:t>
            </w:r>
            <w:proofErr w:type="spellEnd"/>
            <w:r w:rsidR="00E447AA">
              <w:rPr>
                <w:rFonts w:asciiTheme="minorHAnsi" w:hAnsiTheme="minorHAnsi"/>
                <w:b/>
                <w:sz w:val="20"/>
                <w:szCs w:val="20"/>
              </w:rPr>
              <w:t xml:space="preserve"> 13th, 2016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  <w:bookmarkStart w:id="0" w:name="_GoBack"/>
      <w:bookmarkEnd w:id="0"/>
    </w:p>
    <w:sectPr w:rsidR="00FC209D" w:rsidRPr="00B434F4" w:rsidSect="00F354CC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0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DE" w:rsidRDefault="00582EDE">
      <w:pPr>
        <w:spacing w:after="0" w:line="240" w:lineRule="auto"/>
      </w:pPr>
      <w:r>
        <w:separator/>
      </w:r>
    </w:p>
  </w:endnote>
  <w:endnote w:type="continuationSeparator" w:id="0">
    <w:p w:rsidR="00582EDE" w:rsidRDefault="0058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DE" w:rsidRDefault="00582EDE">
      <w:pPr>
        <w:spacing w:after="0" w:line="240" w:lineRule="auto"/>
      </w:pPr>
      <w:r>
        <w:separator/>
      </w:r>
    </w:p>
  </w:footnote>
  <w:footnote w:type="continuationSeparator" w:id="0">
    <w:p w:rsidR="00582EDE" w:rsidRDefault="0058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67E88"/>
    <w:rsid w:val="000908EA"/>
    <w:rsid w:val="00132CC0"/>
    <w:rsid w:val="00140D9D"/>
    <w:rsid w:val="001575B3"/>
    <w:rsid w:val="00172D98"/>
    <w:rsid w:val="001E0D67"/>
    <w:rsid w:val="00212FBF"/>
    <w:rsid w:val="002C224E"/>
    <w:rsid w:val="002D462E"/>
    <w:rsid w:val="002E0DC0"/>
    <w:rsid w:val="00343B7D"/>
    <w:rsid w:val="00366A22"/>
    <w:rsid w:val="00390963"/>
    <w:rsid w:val="00466595"/>
    <w:rsid w:val="0047013B"/>
    <w:rsid w:val="005048B3"/>
    <w:rsid w:val="00522DC8"/>
    <w:rsid w:val="00582EDE"/>
    <w:rsid w:val="005D2152"/>
    <w:rsid w:val="006C6683"/>
    <w:rsid w:val="006E785C"/>
    <w:rsid w:val="0071391A"/>
    <w:rsid w:val="007676AA"/>
    <w:rsid w:val="00767EA4"/>
    <w:rsid w:val="0078478B"/>
    <w:rsid w:val="00793023"/>
    <w:rsid w:val="007F21AF"/>
    <w:rsid w:val="00804E90"/>
    <w:rsid w:val="00830477"/>
    <w:rsid w:val="008B6D99"/>
    <w:rsid w:val="008D628B"/>
    <w:rsid w:val="00956BCD"/>
    <w:rsid w:val="00965CF0"/>
    <w:rsid w:val="009804B1"/>
    <w:rsid w:val="009D1537"/>
    <w:rsid w:val="00A0305B"/>
    <w:rsid w:val="00A464AF"/>
    <w:rsid w:val="00A977C2"/>
    <w:rsid w:val="00B434F4"/>
    <w:rsid w:val="00BC60B0"/>
    <w:rsid w:val="00BF6615"/>
    <w:rsid w:val="00C33A04"/>
    <w:rsid w:val="00C36E7D"/>
    <w:rsid w:val="00C52FD8"/>
    <w:rsid w:val="00CD4AFF"/>
    <w:rsid w:val="00E0148C"/>
    <w:rsid w:val="00E447AA"/>
    <w:rsid w:val="00E97EA4"/>
    <w:rsid w:val="00F030C4"/>
    <w:rsid w:val="00F22F80"/>
    <w:rsid w:val="00F354CC"/>
    <w:rsid w:val="00F51CEC"/>
    <w:rsid w:val="00F9140E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F60FA7-F2D3-436E-95E0-6A2D760D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subject/>
  <dc:creator>uddser</dc:creator>
  <cp:keywords/>
  <cp:lastModifiedBy>ChalitOo Zambrano</cp:lastModifiedBy>
  <cp:revision>3</cp:revision>
  <dcterms:created xsi:type="dcterms:W3CDTF">2017-01-08T00:46:00Z</dcterms:created>
  <dcterms:modified xsi:type="dcterms:W3CDTF">2017-01-08T07:02:00Z</dcterms:modified>
</cp:coreProperties>
</file>