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96D10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SCHOOL YEAR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796D10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96D10">
              <w:rPr>
                <w:rFonts w:asciiTheme="minorHAnsi" w:hAnsiTheme="minorHAnsi"/>
                <w:b/>
                <w:sz w:val="24"/>
                <w:szCs w:val="24"/>
              </w:rPr>
              <w:t>INFORMATIONAL DATA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F60039" w:rsidRPr="00BF4BF0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BF4BF0" w:rsidRDefault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BF4BF0">
              <w:rPr>
                <w:rFonts w:asciiTheme="minorHAnsi" w:hAnsiTheme="minorHAnsi"/>
                <w:sz w:val="20"/>
                <w:szCs w:val="20"/>
                <w:lang w:val="en-US"/>
              </w:rPr>
              <w:t>Lic</w:t>
            </w:r>
            <w:proofErr w:type="spellEnd"/>
            <w:r w:rsidRPr="00BF4BF0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Betty Chavez,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Lic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proofErr w:type="gram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Edwin  Pilca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BF4BF0" w:rsidRDefault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EFL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BF4BF0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GRADE/COURSE</w:t>
            </w:r>
            <w:r w:rsidRPr="00BF4BF0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BF4BF0" w:rsidRDefault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Second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BF4BF0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Class: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BF4BF0" w:rsidRDefault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A-B-C-D.</w:t>
            </w:r>
          </w:p>
        </w:tc>
      </w:tr>
      <w:tr w:rsidR="00390963" w:rsidRPr="00BF4BF0" w:rsidTr="00BF4B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BF4BF0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BF4BF0" w:rsidRDefault="00BF4BF0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Uncover 3B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F4BF0" w:rsidRPr="002027B9" w:rsidRDefault="00BF4BF0" w:rsidP="00BF4BF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2027B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At the end of the unit the student will be able  to:</w:t>
            </w:r>
          </w:p>
          <w:p w:rsidR="00BF4BF0" w:rsidRPr="00BF4BF0" w:rsidRDefault="00BF4BF0" w:rsidP="0049769F">
            <w:pPr>
              <w:pStyle w:val="Prrafodelista"/>
              <w:numPr>
                <w:ilvl w:val="0"/>
                <w:numId w:val="8"/>
              </w:numPr>
              <w:ind w:left="84" w:hanging="6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F4BF0">
              <w:rPr>
                <w:rFonts w:asciiTheme="minorHAnsi" w:hAnsiTheme="minorHAnsi"/>
                <w:sz w:val="18"/>
                <w:szCs w:val="18"/>
                <w:lang w:val="en-US"/>
              </w:rPr>
              <w:t>To talk about life.</w:t>
            </w:r>
          </w:p>
          <w:p w:rsidR="00BF4BF0" w:rsidRPr="00BF4BF0" w:rsidRDefault="00BF4BF0" w:rsidP="00322ED0">
            <w:pPr>
              <w:pStyle w:val="Prrafodelista"/>
              <w:numPr>
                <w:ilvl w:val="0"/>
                <w:numId w:val="8"/>
              </w:numPr>
              <w:ind w:left="84" w:hanging="6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F4BF0">
              <w:rPr>
                <w:rFonts w:asciiTheme="minorHAnsi" w:hAnsiTheme="minorHAnsi"/>
                <w:sz w:val="18"/>
                <w:szCs w:val="18"/>
                <w:lang w:val="en-US"/>
              </w:rPr>
              <w:t>Discuss different educational approaches.</w:t>
            </w:r>
          </w:p>
          <w:p w:rsidR="00BF4BF0" w:rsidRPr="00BF4BF0" w:rsidRDefault="00BF4BF0" w:rsidP="0008290B">
            <w:pPr>
              <w:pStyle w:val="Prrafodelista"/>
              <w:numPr>
                <w:ilvl w:val="0"/>
                <w:numId w:val="8"/>
              </w:numPr>
              <w:ind w:left="84" w:hanging="6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F4BF0">
              <w:rPr>
                <w:rFonts w:asciiTheme="minorHAnsi" w:hAnsiTheme="minorHAnsi"/>
                <w:sz w:val="18"/>
                <w:szCs w:val="18"/>
                <w:lang w:val="en-US"/>
              </w:rPr>
              <w:t>Talk about good and bad behavior at school and home.</w:t>
            </w:r>
          </w:p>
          <w:p w:rsidR="00BF4BF0" w:rsidRPr="00BF4BF0" w:rsidRDefault="00BF4BF0" w:rsidP="009770D4">
            <w:pPr>
              <w:pStyle w:val="Prrafodelista"/>
              <w:numPr>
                <w:ilvl w:val="0"/>
                <w:numId w:val="8"/>
              </w:numPr>
              <w:ind w:left="84" w:hanging="6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F4BF0">
              <w:rPr>
                <w:rFonts w:asciiTheme="minorHAnsi" w:hAnsiTheme="minorHAnsi"/>
                <w:sz w:val="18"/>
                <w:szCs w:val="18"/>
                <w:lang w:val="en-US"/>
              </w:rPr>
              <w:t>Discuss difficult situations.</w:t>
            </w:r>
          </w:p>
          <w:p w:rsidR="00BF4BF0" w:rsidRPr="00BF4BF0" w:rsidRDefault="00BF4BF0" w:rsidP="002A6F23">
            <w:pPr>
              <w:pStyle w:val="Prrafodelista"/>
              <w:numPr>
                <w:ilvl w:val="0"/>
                <w:numId w:val="8"/>
              </w:numPr>
              <w:ind w:left="84" w:hanging="6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BF4BF0">
              <w:rPr>
                <w:rFonts w:asciiTheme="minorHAnsi" w:hAnsiTheme="minorHAnsi"/>
                <w:sz w:val="18"/>
                <w:szCs w:val="18"/>
                <w:lang w:val="en-US"/>
              </w:rPr>
              <w:t>To ask for and give advice.</w:t>
            </w:r>
          </w:p>
          <w:p w:rsidR="00390963" w:rsidRPr="00FE4A8E" w:rsidRDefault="00BF4BF0" w:rsidP="00BF4BF0">
            <w:pPr>
              <w:pStyle w:val="Prrafodelista"/>
              <w:numPr>
                <w:ilvl w:val="0"/>
                <w:numId w:val="8"/>
              </w:numPr>
              <w:ind w:left="84" w:hanging="69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Discuss different systems for dealing with crime.</w:t>
            </w:r>
          </w:p>
        </w:tc>
      </w:tr>
      <w:tr w:rsidR="00390963" w:rsidRPr="00BF4BF0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BF4BF0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BF4BF0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BF4BF0" w:rsidP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Difficult Decisions</w:t>
            </w: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RPr="00BF4BF0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BF4BF0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BF4BF0" w:rsidRDefault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32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BF4BF0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BF4BF0" w:rsidRDefault="00BF4BF0" w:rsidP="00F51CE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September 05 2016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BF4BF0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</w:p>
        </w:tc>
      </w:tr>
      <w:tr w:rsidR="00B434F4" w:rsidRPr="00BF4BF0" w:rsidTr="00BF4BF0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F4BF0" w:rsidRPr="00BF4BF0" w:rsidRDefault="00BF4BF0" w:rsidP="00BF4BF0">
            <w:pPr>
              <w:ind w:right="117"/>
              <w:jc w:val="both"/>
              <w:rPr>
                <w:sz w:val="18"/>
                <w:szCs w:val="18"/>
                <w:lang w:val="en-US"/>
              </w:rPr>
            </w:pPr>
            <w:r w:rsidRPr="00055DDA">
              <w:rPr>
                <w:sz w:val="18"/>
                <w:szCs w:val="18"/>
                <w:shd w:val="clear" w:color="auto" w:fill="00B0F0"/>
                <w:lang w:val="en-US"/>
              </w:rPr>
              <w:t>EFL 5.2.6Use new words and expressions which occur in conversations in the personal and educational domains, and make use of such terms and expressions wherever appropriate and necessary</w:t>
            </w:r>
            <w:r w:rsidRPr="00055DDA">
              <w:rPr>
                <w:sz w:val="18"/>
                <w:szCs w:val="18"/>
                <w:lang w:val="en-US"/>
              </w:rPr>
              <w:t>.</w:t>
            </w:r>
          </w:p>
          <w:p w:rsidR="00BF4BF0" w:rsidRPr="0065034D" w:rsidRDefault="00BF4BF0" w:rsidP="00BF4BF0">
            <w:pPr>
              <w:ind w:right="117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55DDA">
              <w:rPr>
                <w:rFonts w:asciiTheme="minorHAnsi" w:hAnsiTheme="minorHAnsi"/>
                <w:sz w:val="18"/>
                <w:szCs w:val="18"/>
                <w:shd w:val="clear" w:color="auto" w:fill="00B0F0"/>
                <w:lang w:val="en-US"/>
              </w:rPr>
              <w:t>EFL 5.3.2. Identify and use reading strategies to make informative and narrative texts comprehensible and meaningful. (Example: skimming, scanning, previewing, reading for main ideas and details, using structural and context clues, cognates, format, sequence, etc.)</w:t>
            </w: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ab/>
            </w:r>
          </w:p>
          <w:p w:rsidR="00BF4BF0" w:rsidRPr="0065034D" w:rsidRDefault="00BF4BF0" w:rsidP="00BF4BF0">
            <w:pPr>
              <w:shd w:val="clear" w:color="auto" w:fill="00B0F0"/>
              <w:ind w:right="117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>EFL 5.3.9. Skim and scan reference materials, in print or online, in order to identify information that might be of practical use for one’s own research and academic need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s.</w:t>
            </w:r>
          </w:p>
          <w:p w:rsidR="00BF4BF0" w:rsidRPr="0065034D" w:rsidRDefault="00BF4BF0" w:rsidP="00BF4BF0">
            <w:pPr>
              <w:shd w:val="clear" w:color="auto" w:fill="00B0F0"/>
              <w:ind w:right="117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>EFL 5.4.6. Produce emails and blog posts describing personal experiences and feelings.</w:t>
            </w: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ab/>
            </w:r>
          </w:p>
          <w:p w:rsidR="00BF4BF0" w:rsidRPr="0065034D" w:rsidRDefault="00BF4BF0" w:rsidP="00BF4BF0">
            <w:pPr>
              <w:shd w:val="clear" w:color="auto" w:fill="00B0F0"/>
              <w:ind w:right="117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>EFL 5.4.9. Use a variety of oral, print and electronic forms for writing to others or for writing for self, applying the conventions of social writing. (Example: notes, invitations, emails, blog entries and comments, notes to self, etc.)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.</w:t>
            </w:r>
          </w:p>
          <w:p w:rsidR="00BF4BF0" w:rsidRPr="0065034D" w:rsidRDefault="00BF4BF0" w:rsidP="00BF4BF0">
            <w:pPr>
              <w:shd w:val="clear" w:color="auto" w:fill="00B0F0"/>
              <w:ind w:right="117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>EFL 5.5.1. Compare and present personal and formal responses to and interpretations of published literary texts and the works of peers, referring to details and features of the text. (Example: text structure, plot, ideas, events, vocabulary, etc.</w:t>
            </w:r>
          </w:p>
          <w:p w:rsidR="00B434F4" w:rsidRPr="00FE4A8E" w:rsidRDefault="00BF4BF0" w:rsidP="00BF4BF0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sz w:val="18"/>
                <w:szCs w:val="18"/>
                <w:shd w:val="clear" w:color="auto" w:fill="00B0F0"/>
                <w:lang w:val="en-US"/>
              </w:rPr>
              <w:t>EFL 5.5.5. Create original, imaginative stories using appropriate vocabulary and elements of the literature that learners have read or heard.</w:t>
            </w:r>
            <w:r w:rsidRPr="00BF4BF0">
              <w:rPr>
                <w:rFonts w:asciiTheme="minorHAnsi" w:hAnsiTheme="minorHAnsi"/>
                <w:sz w:val="18"/>
                <w:szCs w:val="18"/>
                <w:shd w:val="clear" w:color="auto" w:fill="00B0F0"/>
                <w:lang w:val="en-US"/>
              </w:rPr>
              <w:tab/>
            </w: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ab/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F0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CE.EFL.5.7. Production – Accuracy and Intelligibility:  Use appropriate vocabulary and language in a variety of oral interactions for a range of audiences and level-appropriate purposes. </w:t>
            </w:r>
          </w:p>
          <w:p w:rsidR="00BF4BF0" w:rsidRPr="0065034D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BF4BF0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CE.EFL.5.11. Identify and apply a range of reading strategies in order to make texts meaningful and to select information within a text that might be of practical use for one’s own academic needs. </w:t>
            </w:r>
          </w:p>
          <w:p w:rsidR="00BF4BF0" w:rsidRPr="0065034D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BF4BF0" w:rsidRPr="0065034D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>CE.EFL.5.13. Produce emails, blog posts and other written texts using an effective voice and a variety of appropriate writing styles and conventions</w:t>
            </w:r>
          </w:p>
          <w:p w:rsidR="00BF4BF0" w:rsidRPr="0065034D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BF4BF0" w:rsidRPr="0065034D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>CE.EFL.5.16. Respond to and interpret literary texts, including original stories written by peers, referring to details and literary elements of the text.</w:t>
            </w: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ab/>
            </w:r>
          </w:p>
          <w:p w:rsidR="00B434F4" w:rsidRPr="00BF4BF0" w:rsidRDefault="00B434F4" w:rsidP="00BF4BF0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5E0D77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EVALUATION </w:t>
            </w:r>
            <w:r w:rsidR="00B434F4"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="00B434F4"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="00B434F4"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B434F4" w:rsidRPr="001C6DDB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5E0D77" w:rsidRDefault="005E0D77" w:rsidP="00474407">
            <w:pPr>
              <w:rPr>
                <w:rFonts w:eastAsia="Times New Roman" w:cs="Times New Roman"/>
                <w:color w:val="00000A"/>
                <w:sz w:val="18"/>
                <w:szCs w:val="18"/>
                <w:lang w:val="en-US"/>
              </w:rPr>
            </w:pPr>
            <w:r w:rsidRPr="0065034D">
              <w:rPr>
                <w:color w:val="00000A"/>
                <w:sz w:val="18"/>
                <w:szCs w:val="18"/>
                <w:lang w:val="en-US"/>
              </w:rPr>
              <w:t xml:space="preserve">• Read the phrases related to school life. Then circle the correct answers.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>• Listen check and repeat the previous vocabulary.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Work with a partner. Ask and answer the questions and write the results.  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Look at the title, what kind of school is it? Why do they describe it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lastRenderedPageBreak/>
              <w:t>as “free”?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Read and listen to the article. Mark the sentences true (T) or false (F).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Work with a partner. Answer a few questions about Schools.  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>• Complete the chart (Second conditional</w:t>
            </w:r>
            <w:proofErr w:type="gramStart"/>
            <w:r w:rsidRPr="0065034D">
              <w:rPr>
                <w:color w:val="00000A"/>
                <w:sz w:val="18"/>
                <w:szCs w:val="18"/>
                <w:lang w:val="en-US"/>
              </w:rPr>
              <w:t>) .</w:t>
            </w:r>
            <w:proofErr w:type="gramEnd"/>
            <w:r w:rsidRPr="0065034D">
              <w:rPr>
                <w:color w:val="00000A"/>
                <w:sz w:val="18"/>
                <w:szCs w:val="18"/>
                <w:lang w:val="en-US"/>
              </w:rPr>
              <w:t xml:space="preserve"> Then complete the conversation using the same grammar. 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>• Work with a partner and practice. Circle the answers that are true for</w:t>
            </w:r>
            <w:r>
              <w:rPr>
                <w:color w:val="00000A"/>
                <w:sz w:val="18"/>
                <w:szCs w:val="18"/>
                <w:lang w:val="en-US"/>
              </w:rPr>
              <w:t xml:space="preserve"> you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t xml:space="preserve"> from the previous exercise, share the information with your partner.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Look at the pictures of teenagers on vacations, in Rocky mountain national park. Do they look fun to you?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Listen to the short conversation between 2 teenagers on the pictures. Circle the answers that match the correct information.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Now complete the email with make or do. Then listen and check your answers.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>• Complete the sentences with the correct phrasal verbs.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Work with a partner. Ask and answer the following questions, about traveling.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>• Write a comparison and contrast email. Use the writing process to organize and check your ideas when producing 120- words blog post.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Look at the pictures and answer the following questions. 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Read the article again. Number the steps in the correct order.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 xml:space="preserve">• Work with a partner discuss about New Zealand as a vacation destination. Use some of the listed questions. </w:t>
            </w:r>
            <w:r w:rsidRPr="0065034D">
              <w:rPr>
                <w:color w:val="00000A"/>
                <w:sz w:val="18"/>
                <w:szCs w:val="18"/>
                <w:lang w:val="en-US"/>
              </w:rPr>
              <w:br/>
              <w:t>• Students will be evaluated on the content of this unit by completing a series of exercises.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77" w:rsidRPr="005E0D77" w:rsidRDefault="005E0D77" w:rsidP="005E0D77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*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Uncover 3 </w:t>
            </w: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Combo B with online workbook and online practice 1. </w:t>
            </w:r>
          </w:p>
          <w:p w:rsidR="005E0D77" w:rsidRPr="005E0D77" w:rsidRDefault="005E0D77" w:rsidP="005E0D77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*Teacher's edition practice 1. </w:t>
            </w:r>
          </w:p>
          <w:p w:rsidR="005E0D77" w:rsidRPr="005E0D77" w:rsidRDefault="005E0D77" w:rsidP="005E0D77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 xml:space="preserve">*Class audio CDs practice 1. </w:t>
            </w:r>
          </w:p>
          <w:p w:rsidR="005E0D77" w:rsidRPr="005E0D77" w:rsidRDefault="005E0D77" w:rsidP="005E0D77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*Video DVD practice 1. </w:t>
            </w:r>
          </w:p>
          <w:p w:rsidR="005E0D77" w:rsidRPr="005E0D77" w:rsidRDefault="005E0D77" w:rsidP="005E0D77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>*Presentation Plus DVD-ROM starter.</w:t>
            </w:r>
          </w:p>
          <w:p w:rsidR="005E0D77" w:rsidRPr="005E0D77" w:rsidRDefault="005E0D77" w:rsidP="005E0D7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MATERIALS: </w:t>
            </w:r>
          </w:p>
          <w:p w:rsidR="00B434F4" w:rsidRPr="005E0D77" w:rsidRDefault="005E0D77" w:rsidP="005E0D7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>Computer, writing materials, CD player, DVD player."</w:t>
            </w: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F0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*I.EFL.5.7.1. Learners can communicate clearly and effectively by using appropriate vocabulary and language in a variety of oral interactions for a range of audiences and level-appropriate purposes. (I.2, I. 3, J.2)</w:t>
            </w:r>
          </w:p>
          <w:p w:rsidR="00BF4BF0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BF4BF0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 xml:space="preserve"> *I.EFL.5.11.1.  Learners can Identify and apply a range of reading strategies in order to make texts meaningful and to select information within a text that might be of practical use for one’s own academic needs. (I.1, I.2, I.4, S.3) </w:t>
            </w:r>
          </w:p>
          <w:p w:rsidR="00BF4BF0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BF4BF0" w:rsidRPr="0065034D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>*I.EFL.5.13.1. Learners can produce emails, blog posts and other written texts using an effective voice and a variety of appropriate writing styles and conventions. (I.3, S.3, J.2)</w:t>
            </w:r>
          </w:p>
          <w:p w:rsidR="00BF4BF0" w:rsidRPr="0065034D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BF4BF0" w:rsidRPr="0065034D" w:rsidRDefault="00BF4BF0" w:rsidP="00BF4BF0">
            <w:pPr>
              <w:ind w:left="29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5034D">
              <w:rPr>
                <w:rFonts w:asciiTheme="minorHAnsi" w:hAnsiTheme="minorHAnsi"/>
                <w:sz w:val="18"/>
                <w:szCs w:val="18"/>
                <w:lang w:val="en-US"/>
              </w:rPr>
              <w:t>*I.EFL.5.16.1. Learners can respond to and interpret literary texts, including original stories written by peers, referring to details and literary elements of the text. (S.1, S.4, J.2).</w:t>
            </w:r>
          </w:p>
          <w:p w:rsidR="00B434F4" w:rsidRPr="00FE4A8E" w:rsidRDefault="00B434F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1C6DDB" w:rsidP="001C6DDB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Activity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6DDB">
              <w:rPr>
                <w:rFonts w:asciiTheme="minorHAnsi" w:eastAsia="Times New Roman" w:hAnsiTheme="minorHAnsi" w:cs="Times New Roman"/>
                <w:sz w:val="20"/>
                <w:szCs w:val="20"/>
              </w:rPr>
              <w:t>Homework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assignments</w:t>
            </w:r>
            <w:proofErr w:type="spellEnd"/>
          </w:p>
          <w:p w:rsidR="001C6DDB" w:rsidRP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6DDB">
              <w:rPr>
                <w:rFonts w:asciiTheme="minorHAnsi" w:eastAsia="Times New Roman" w:hAnsiTheme="minorHAnsi" w:cs="Times New Roman"/>
                <w:sz w:val="20"/>
                <w:szCs w:val="20"/>
              </w:rPr>
              <w:t>observation</w:t>
            </w:r>
            <w:proofErr w:type="spellEnd"/>
            <w:r w:rsidRPr="001C6DDB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questionnaire</w:t>
            </w:r>
            <w:proofErr w:type="spellEnd"/>
          </w:p>
          <w:p w:rsid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:rsidR="001C6DDB" w:rsidRPr="001C6DDB" w:rsidRDefault="001C6DDB" w:rsidP="001C6DDB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1C6DDB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Activity: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write an advice article</w:t>
            </w:r>
          </w:p>
          <w:p w:rsidR="001C6DDB" w:rsidRP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1C6DDB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Technique: </w:t>
            </w:r>
            <w:r w:rsidRPr="001C6DDB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observation.</w:t>
            </w:r>
          </w:p>
          <w:p w:rsidR="001C6DDB" w:rsidRP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1C6DDB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lastRenderedPageBreak/>
              <w:t xml:space="preserve">Instrument: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writing rubric</w:t>
            </w:r>
          </w:p>
          <w:p w:rsidR="001C6DDB" w:rsidRP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</w:p>
          <w:p w:rsidR="001C6DDB" w:rsidRPr="00796D10" w:rsidRDefault="001C6DDB" w:rsidP="001C6DDB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Activity: </w:t>
            </w:r>
            <w:r w:rsidR="00796D10" w:rsidRPr="00796D10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Reading Comprehension</w:t>
            </w:r>
          </w:p>
          <w:p w:rsidR="001C6DDB" w:rsidRP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6DDB">
              <w:rPr>
                <w:rFonts w:asciiTheme="minorHAnsi" w:eastAsia="Times New Roman" w:hAnsiTheme="minorHAnsi" w:cs="Times New Roman"/>
                <w:sz w:val="20"/>
                <w:szCs w:val="20"/>
              </w:rPr>
              <w:t>observation</w:t>
            </w:r>
            <w:proofErr w:type="spellEnd"/>
            <w:r w:rsidRPr="001C6DDB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questionnaire</w:t>
            </w:r>
            <w:proofErr w:type="spellEnd"/>
          </w:p>
          <w:p w:rsid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:rsidR="001C6DDB" w:rsidRDefault="001C6DDB" w:rsidP="001C6DDB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Activity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r w:rsidR="00796D10">
              <w:rPr>
                <w:rFonts w:asciiTheme="minorHAnsi" w:eastAsia="Times New Roman" w:hAnsiTheme="minorHAnsi" w:cs="Times New Roman"/>
                <w:sz w:val="20"/>
                <w:szCs w:val="20"/>
              </w:rPr>
              <w:t>test</w:t>
            </w:r>
          </w:p>
          <w:p w:rsidR="001C6DDB" w:rsidRP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6DDB">
              <w:rPr>
                <w:rFonts w:asciiTheme="minorHAnsi" w:eastAsia="Times New Roman" w:hAnsiTheme="minorHAnsi" w:cs="Times New Roman"/>
                <w:sz w:val="20"/>
                <w:szCs w:val="20"/>
              </w:rPr>
              <w:t>observation</w:t>
            </w:r>
            <w:proofErr w:type="spellEnd"/>
            <w:r w:rsidRPr="001C6DDB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1C6DDB" w:rsidRPr="001C6DDB" w:rsidRDefault="001C6DDB" w:rsidP="001C6DDB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questionnaire</w:t>
            </w:r>
            <w:proofErr w:type="spellEnd"/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BF4BF0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474407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07" w:rsidRPr="00796D10" w:rsidRDefault="00474407" w:rsidP="00474407">
            <w:pP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01</w:t>
            </w:r>
          </w:p>
          <w:p w:rsidR="00474407" w:rsidRPr="00796D10" w:rsidRDefault="00474407" w:rsidP="00474407">
            <w:pP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06</w:t>
            </w:r>
          </w:p>
          <w:p w:rsidR="00B434F4" w:rsidRPr="00474407" w:rsidRDefault="00474407" w:rsidP="00474407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07</w:t>
            </w:r>
            <w:r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  <w:r w:rsidRPr="00474407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Trastorno por déficit de atención con hiperactividad tipo combinado-moderado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10" w:rsidRPr="00796D10" w:rsidRDefault="00796D10" w:rsidP="00796D10">
            <w:pP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01</w:t>
            </w:r>
          </w:p>
          <w:p w:rsidR="00796D10" w:rsidRPr="00796D10" w:rsidRDefault="00796D10" w:rsidP="00796D10">
            <w:pP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06</w:t>
            </w:r>
          </w:p>
          <w:p w:rsidR="00B434F4" w:rsidRPr="00796D10" w:rsidRDefault="00796D10" w:rsidP="00B434F4">
            <w:pPr>
              <w:rPr>
                <w:rFonts w:ascii="Cambria" w:eastAsia="Times New Roman" w:hAnsi="Cambria" w:cs="Times New Roman"/>
                <w:bCs/>
                <w:sz w:val="18"/>
                <w:szCs w:val="18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07</w:t>
            </w:r>
            <w:r w:rsidRPr="00796D10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</w:t>
            </w:r>
            <w:r w:rsidRPr="00796D10">
              <w:rPr>
                <w:rFonts w:ascii="Cambria" w:eastAsia="Times New Roman" w:hAnsi="Cambria" w:cs="Times New Roman"/>
                <w:bCs/>
                <w:sz w:val="18"/>
                <w:szCs w:val="18"/>
              </w:rPr>
              <w:t>Trastorno por déficit de atención con hiperactividad tipo combinado-moderado adaptación no asociada a la discapacidad, permanente, no significativa de aula, pedagógica a la metodología recursos y evaluación.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796D10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796D1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Teacher:</w:t>
            </w:r>
            <w:r w:rsid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6D10"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Lic</w:t>
            </w:r>
            <w:proofErr w:type="spellEnd"/>
            <w:r w:rsidR="00796D10"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. </w:t>
            </w:r>
            <w:r w:rsid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Betty Chavez, </w:t>
            </w:r>
            <w:proofErr w:type="spellStart"/>
            <w:r w:rsid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Lic</w:t>
            </w:r>
            <w:proofErr w:type="spellEnd"/>
            <w:r w:rsid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. Edwin Pilca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796D1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Coordinator:</w:t>
            </w:r>
            <w:r w:rsidR="009935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Teacher Rocí</w:t>
            </w:r>
            <w:r w:rsid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796D1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Viceprincipal:</w:t>
            </w:r>
            <w:r w:rsidR="009935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Dra. Rocí</w:t>
            </w:r>
            <w:r w:rsid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o </w:t>
            </w:r>
            <w:r w:rsidR="009935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Orellana</w:t>
            </w:r>
          </w:p>
        </w:tc>
      </w:tr>
      <w:tr w:rsidR="007F21AF" w:rsidRPr="00796D10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796D1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796D1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Signature:</w:t>
            </w:r>
            <w:r w:rsidR="00F6003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</w:t>
            </w:r>
            <w:bookmarkStart w:id="0" w:name="_GoBack"/>
            <w:r w:rsidR="00F60039" w:rsidRPr="00F510B1">
              <w:rPr>
                <w:noProof/>
              </w:rPr>
              <w:drawing>
                <wp:inline distT="0" distB="0" distL="0" distR="0" wp14:anchorId="3B3E4329" wp14:editId="5EA34001">
                  <wp:extent cx="1973580" cy="552450"/>
                  <wp:effectExtent l="0" t="0" r="7620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892" cy="5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796D1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Signature:</w:t>
            </w:r>
          </w:p>
        </w:tc>
      </w:tr>
      <w:tr w:rsidR="007F21AF" w:rsidRPr="00796D10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796D1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Date</w:t>
            </w:r>
            <w:r w:rsidR="009935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: September 13, 2016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796D1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Date:</w:t>
            </w:r>
            <w:r w:rsidR="009935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September 13, 2016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796D1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Date:</w:t>
            </w:r>
            <w:r w:rsidR="009935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September 13, 2016</w:t>
            </w:r>
          </w:p>
        </w:tc>
      </w:tr>
    </w:tbl>
    <w:p w:rsidR="00FC209D" w:rsidRPr="00796D10" w:rsidRDefault="00FC209D">
      <w:pPr>
        <w:spacing w:after="0"/>
        <w:ind w:left="-850" w:right="14155"/>
        <w:rPr>
          <w:lang w:val="en-US"/>
        </w:rPr>
      </w:pPr>
    </w:p>
    <w:p w:rsidR="00FC209D" w:rsidRPr="00796D10" w:rsidRDefault="00FC209D">
      <w:pPr>
        <w:spacing w:after="0"/>
        <w:ind w:left="-850" w:right="14155"/>
        <w:rPr>
          <w:lang w:val="en-US"/>
        </w:rPr>
      </w:pPr>
    </w:p>
    <w:sectPr w:rsidR="00FC209D" w:rsidRPr="00796D10" w:rsidSect="007F21AF">
      <w:footerReference w:type="even" r:id="rId9"/>
      <w:footerReference w:type="default" r:id="rId10"/>
      <w:footerReference w:type="first" r:id="rId11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139" w:rsidRDefault="006D0139">
      <w:pPr>
        <w:spacing w:after="0" w:line="240" w:lineRule="auto"/>
      </w:pPr>
      <w:r>
        <w:separator/>
      </w:r>
    </w:p>
  </w:endnote>
  <w:endnote w:type="continuationSeparator" w:id="0">
    <w:p w:rsidR="006D0139" w:rsidRDefault="006D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139" w:rsidRDefault="006D0139">
      <w:pPr>
        <w:spacing w:after="0" w:line="240" w:lineRule="auto"/>
      </w:pPr>
      <w:r>
        <w:separator/>
      </w:r>
    </w:p>
  </w:footnote>
  <w:footnote w:type="continuationSeparator" w:id="0">
    <w:p w:rsidR="006D0139" w:rsidRDefault="006D0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581154"/>
    <w:multiLevelType w:val="hybridMultilevel"/>
    <w:tmpl w:val="BB902338"/>
    <w:lvl w:ilvl="0" w:tplc="75CEFA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908EA"/>
    <w:rsid w:val="001C6DDB"/>
    <w:rsid w:val="00312A14"/>
    <w:rsid w:val="00390963"/>
    <w:rsid w:val="00474407"/>
    <w:rsid w:val="004F08EC"/>
    <w:rsid w:val="005E0D77"/>
    <w:rsid w:val="006D0139"/>
    <w:rsid w:val="006E785C"/>
    <w:rsid w:val="00716981"/>
    <w:rsid w:val="00796D10"/>
    <w:rsid w:val="007F21AF"/>
    <w:rsid w:val="00830477"/>
    <w:rsid w:val="00965CF0"/>
    <w:rsid w:val="009935C9"/>
    <w:rsid w:val="009F6C7A"/>
    <w:rsid w:val="00B434F4"/>
    <w:rsid w:val="00BC60B0"/>
    <w:rsid w:val="00BE63FF"/>
    <w:rsid w:val="00BF4BF0"/>
    <w:rsid w:val="00C36E7D"/>
    <w:rsid w:val="00F3257F"/>
    <w:rsid w:val="00F51CEC"/>
    <w:rsid w:val="00F60039"/>
    <w:rsid w:val="00FC209D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F60FA7-F2D3-436E-95E0-6A2D760D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subject/>
  <dc:creator>uddser</dc:creator>
  <cp:keywords/>
  <cp:lastModifiedBy>ChalitOo Zambrano</cp:lastModifiedBy>
  <cp:revision>3</cp:revision>
  <dcterms:created xsi:type="dcterms:W3CDTF">2017-01-08T00:36:00Z</dcterms:created>
  <dcterms:modified xsi:type="dcterms:W3CDTF">2017-01-08T07:00:00Z</dcterms:modified>
</cp:coreProperties>
</file>